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3BFA">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after="313" w:afterLines="100"/>
        <w:ind w:left="0" w:firstLine="0"/>
        <w:jc w:val="center"/>
        <w:textAlignment w:val="auto"/>
        <w:rPr>
          <w:rFonts w:hint="eastAsia" w:asciiTheme="majorEastAsia" w:hAnsiTheme="majorEastAsia" w:eastAsiaTheme="majorEastAsia" w:cstheme="majorEastAsia"/>
          <w:b/>
          <w:bCs/>
          <w:i w:val="0"/>
          <w:iCs w:val="0"/>
          <w:caps w:val="0"/>
          <w:color w:val="FF0000"/>
          <w:spacing w:val="0"/>
          <w:kern w:val="0"/>
          <w:sz w:val="112"/>
          <w:szCs w:val="112"/>
          <w:shd w:val="clear" w:fill="FFFFFF"/>
          <w:lang w:val="en-US" w:eastAsia="zh-CN" w:bidi="ar"/>
        </w:rPr>
      </w:pPr>
      <w:r>
        <w:rPr>
          <w:rFonts w:hint="eastAsia" w:asciiTheme="majorEastAsia" w:hAnsiTheme="majorEastAsia" w:eastAsiaTheme="majorEastAsia" w:cstheme="majorEastAsia"/>
          <w:b/>
          <w:bCs/>
          <w:i w:val="0"/>
          <w:iCs w:val="0"/>
          <w:caps w:val="0"/>
          <w:color w:val="FF0000"/>
          <w:spacing w:val="68"/>
          <w:kern w:val="0"/>
          <w:sz w:val="112"/>
          <w:szCs w:val="112"/>
          <w:shd w:val="clear" w:fill="FFFFFF"/>
          <w:lang w:val="en-US" w:eastAsia="zh-CN" w:bidi="ar"/>
        </w:rPr>
        <w:t>天镇县民政局</w:t>
      </w:r>
    </w:p>
    <w:p w14:paraId="59BE835B">
      <w:pPr>
        <w:keepNext w:val="0"/>
        <w:keepLines w:val="0"/>
        <w:widowControl/>
        <w:suppressLineNumbers w:val="0"/>
        <w:shd w:val="clear" w:fill="FFFFFF"/>
        <w:ind w:left="0" w:firstLine="0"/>
        <w:jc w:val="center"/>
        <w:rPr>
          <w:sz w:val="36"/>
        </w:rPr>
      </w:pPr>
      <w:r>
        <w:rPr>
          <w:sz w:val="36"/>
        </w:rPr>
        <mc:AlternateContent>
          <mc:Choice Requires="wps">
            <w:drawing>
              <wp:anchor distT="0" distB="0" distL="114300" distR="114300" simplePos="0" relativeHeight="251659264" behindDoc="0" locked="0" layoutInCell="1" allowOverlap="1">
                <wp:simplePos x="0" y="0"/>
                <wp:positionH relativeFrom="column">
                  <wp:posOffset>-159385</wp:posOffset>
                </wp:positionH>
                <wp:positionV relativeFrom="page">
                  <wp:posOffset>2349500</wp:posOffset>
                </wp:positionV>
                <wp:extent cx="5507990" cy="635"/>
                <wp:effectExtent l="0" t="42545" r="16510" b="52070"/>
                <wp:wrapNone/>
                <wp:docPr id="1" name="直接连接符 1"/>
                <wp:cNvGraphicFramePr/>
                <a:graphic xmlns:a="http://schemas.openxmlformats.org/drawingml/2006/main">
                  <a:graphicData uri="http://schemas.microsoft.com/office/word/2010/wordprocessingShape">
                    <wps:wsp>
                      <wps:cNvCnPr/>
                      <wps:spPr>
                        <a:xfrm flipV="1">
                          <a:off x="1150620" y="1905000"/>
                          <a:ext cx="5507990" cy="635"/>
                        </a:xfrm>
                        <a:prstGeom prst="line">
                          <a:avLst/>
                        </a:prstGeom>
                        <a:ln w="85725" cmpd="thickThin">
                          <a:solidFill>
                            <a:srgbClr val="FF0000"/>
                          </a:solidFill>
                          <a:prstDash val="soli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12.55pt;margin-top:185pt;height:0.05pt;width:433.7pt;mso-position-vertical-relative:page;z-index:251659264;mso-width-relative:page;mso-height-relative:page;" filled="f" stroked="t" coordsize="21600,21600" o:gfxdata="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4lvh02wAAAAsBAAAPAAAAAAAAAAEAIAAAACIAAABkcnMv&#10;ZG93bnJldi54bWxQSwECFAAUAAAACACHTuJA+pozxAACAADQAwAADgAAAAAAAAABACAAAAAqAQAA&#10;ZHJzL2Uyb0RvYy54bWxQSwUGAAAAAAYABgBZAQAAnAUAAAAA&#10;">
                <v:fill on="f" focussize="0,0"/>
                <v:stroke weight="6.75pt" color="#FF0000 [3205]" linestyle="thickThin" miterlimit="8" joinstyle="miter"/>
                <v:imagedata o:title=""/>
                <o:lock v:ext="edit" aspectratio="f"/>
              </v:line>
            </w:pict>
          </mc:Fallback>
        </mc:AlternateContent>
      </w:r>
    </w:p>
    <w:p w14:paraId="094940BA">
      <w:pPr>
        <w:keepNext w:val="0"/>
        <w:keepLines w:val="0"/>
        <w:widowControl/>
        <w:suppressLineNumbers w:val="0"/>
        <w:shd w:val="clear" w:fill="FFFFFF"/>
        <w:ind w:left="0" w:firstLine="0"/>
        <w:jc w:val="center"/>
        <w:rPr>
          <w:rFonts w:hint="eastAsia" w:asciiTheme="majorEastAsia" w:hAnsiTheme="majorEastAsia" w:eastAsiaTheme="majorEastAsia" w:cstheme="majorEastAsia"/>
          <w:b/>
          <w:bCs/>
          <w:i w:val="0"/>
          <w:iCs w:val="0"/>
          <w:caps w:val="0"/>
          <w:color w:val="333333"/>
          <w:spacing w:val="0"/>
          <w:kern w:val="0"/>
          <w:sz w:val="44"/>
          <w:szCs w:val="44"/>
          <w:shd w:val="clear" w:fill="FFFFFF"/>
          <w:lang w:val="en-US" w:eastAsia="zh-CN" w:bidi="ar"/>
        </w:rPr>
      </w:pPr>
      <w:r>
        <w:rPr>
          <w:rFonts w:hint="eastAsia" w:asciiTheme="majorEastAsia" w:hAnsiTheme="majorEastAsia" w:eastAsiaTheme="majorEastAsia" w:cstheme="majorEastAsia"/>
          <w:b/>
          <w:bCs/>
          <w:i w:val="0"/>
          <w:iCs w:val="0"/>
          <w:caps w:val="0"/>
          <w:color w:val="333333"/>
          <w:spacing w:val="0"/>
          <w:kern w:val="0"/>
          <w:sz w:val="44"/>
          <w:szCs w:val="44"/>
          <w:shd w:val="clear" w:fill="FFFFFF"/>
          <w:lang w:val="en-US" w:eastAsia="zh-CN" w:bidi="ar"/>
        </w:rPr>
        <w:t>天镇县福利彩票公益金资金管理办法</w:t>
      </w:r>
    </w:p>
    <w:p w14:paraId="483CE7F0">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left"/>
        <w:textAlignment w:val="auto"/>
        <w:rPr>
          <w:rStyle w:val="6"/>
          <w:rFonts w:hint="eastAsia" w:ascii="仿宋" w:hAnsi="仿宋" w:eastAsia="仿宋" w:cs="仿宋"/>
          <w:i w:val="0"/>
          <w:iCs w:val="0"/>
          <w:caps w:val="0"/>
          <w:color w:val="333333"/>
          <w:spacing w:val="0"/>
          <w:kern w:val="0"/>
          <w:sz w:val="32"/>
          <w:szCs w:val="32"/>
          <w:shd w:val="clear" w:fill="FFFFFF"/>
          <w:lang w:val="en-US" w:eastAsia="zh-CN" w:bidi="ar"/>
        </w:rPr>
      </w:pPr>
    </w:p>
    <w:p w14:paraId="7DF67D5E">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第一条 </w:t>
      </w:r>
      <w:r>
        <w:rPr>
          <w:rFonts w:hint="eastAsia" w:ascii="仿宋" w:hAnsi="仿宋" w:eastAsia="仿宋" w:cs="仿宋"/>
          <w:i w:val="0"/>
          <w:iCs w:val="0"/>
          <w:caps w:val="0"/>
          <w:color w:val="333333"/>
          <w:spacing w:val="0"/>
          <w:kern w:val="0"/>
          <w:sz w:val="32"/>
          <w:szCs w:val="32"/>
          <w:shd w:val="clear" w:fill="FFFFFF"/>
          <w:lang w:val="en-US" w:eastAsia="zh-CN" w:bidi="ar"/>
        </w:rPr>
        <w:t> 为加强我县福利彩票公益金分配和使用管理，明确管理责任，规范管理程序，提高资金使用效益，根据《彩票管理条例》《彩票管理条例实施细则》《彩票公益金管理办法》《中央集中彩票公益金支持社会福利事业资金使用管理办法》《民政部彩票公益金使用管理办法》等有关规定，制定本办法。</w:t>
      </w:r>
    </w:p>
    <w:p w14:paraId="4D9D0745">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第二条 </w:t>
      </w:r>
      <w:r>
        <w:rPr>
          <w:rFonts w:hint="eastAsia" w:ascii="仿宋" w:hAnsi="仿宋" w:eastAsia="仿宋" w:cs="仿宋"/>
          <w:i w:val="0"/>
          <w:iCs w:val="0"/>
          <w:caps w:val="0"/>
          <w:color w:val="333333"/>
          <w:spacing w:val="0"/>
          <w:kern w:val="0"/>
          <w:sz w:val="32"/>
          <w:szCs w:val="32"/>
          <w:shd w:val="clear" w:fill="FFFFFF"/>
          <w:lang w:val="en-US" w:eastAsia="zh-CN" w:bidi="ar"/>
        </w:rPr>
        <w:t>本办法所称天镇县福利彩票公益金（以下简 称“公益金”）是指我县民政部门使用的民政部、省、市下拨的福利彩票公益金，其使用应当遵循福利彩票“扶老、助残、救孤、济困”的发行宗旨，纳入政府性基金预算管理，专款专用。公益金使用管理应当严格执行国家法律法规和财务规章制度，分配和使用管理体现“公平、公正、公开”，按照“谁使用、谁管理、谁负责”的原则。</w:t>
      </w:r>
    </w:p>
    <w:p w14:paraId="22062ADC">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第三条</w:t>
      </w:r>
      <w:r>
        <w:rPr>
          <w:rFonts w:hint="eastAsia" w:ascii="仿宋" w:hAnsi="仿宋" w:eastAsia="仿宋" w:cs="仿宋"/>
          <w:i w:val="0"/>
          <w:iCs w:val="0"/>
          <w:caps w:val="0"/>
          <w:color w:val="333333"/>
          <w:spacing w:val="0"/>
          <w:kern w:val="0"/>
          <w:sz w:val="32"/>
          <w:szCs w:val="32"/>
          <w:shd w:val="clear" w:fill="FFFFFF"/>
          <w:lang w:val="en-US" w:eastAsia="zh-CN" w:bidi="ar"/>
        </w:rPr>
        <w:t>  民政局作为公益金使用管理统筹协调单位和公益金项目资金核拨单位，负责公益金预算管理。承担汇总审核公益金预算、汇总上一年度公益金使用情况、制定公益金使用管理相关制度、建设公益金项目管理平台、牵头开展项目审计、做好公益金使用管理日常工作等职责，并承担公益金项目管理和财务核算等工作。</w:t>
      </w:r>
    </w:p>
    <w:p w14:paraId="45DF5052">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第四条</w:t>
      </w:r>
      <w:r>
        <w:rPr>
          <w:rFonts w:hint="eastAsia" w:ascii="仿宋" w:hAnsi="仿宋" w:eastAsia="仿宋" w:cs="仿宋"/>
          <w:i w:val="0"/>
          <w:iCs w:val="0"/>
          <w:caps w:val="0"/>
          <w:color w:val="333333"/>
          <w:spacing w:val="0"/>
          <w:kern w:val="0"/>
          <w:sz w:val="32"/>
          <w:szCs w:val="32"/>
          <w:shd w:val="clear" w:fill="FFFFFF"/>
          <w:lang w:val="en-US" w:eastAsia="zh-CN" w:bidi="ar"/>
        </w:rPr>
        <w:t>  民政局是公益金项目具体执行者，负责公益金预算执行。承担公益金项目预算编写、组织预算项目具体执行、进行财务管理、配合做好项目绩效评价和信息公开、制定本项目公益金使用管理制度等职责。</w:t>
      </w:r>
    </w:p>
    <w:p w14:paraId="62133153">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第五条</w:t>
      </w:r>
      <w:r>
        <w:rPr>
          <w:rFonts w:hint="eastAsia" w:ascii="仿宋" w:hAnsi="仿宋" w:eastAsia="仿宋" w:cs="仿宋"/>
          <w:i w:val="0"/>
          <w:iCs w:val="0"/>
          <w:caps w:val="0"/>
          <w:color w:val="333333"/>
          <w:spacing w:val="0"/>
          <w:kern w:val="0"/>
          <w:sz w:val="32"/>
          <w:szCs w:val="32"/>
          <w:shd w:val="clear" w:fill="FFFFFF"/>
          <w:lang w:val="en-US" w:eastAsia="zh-CN" w:bidi="ar"/>
        </w:rPr>
        <w:t>  每年上半年，按照本领域公益金项目规划和公益金使用管理办法，指导项目单位开展立项及项目论证工作。在规定的时间内编制和报送预算申报材料。</w:t>
      </w:r>
    </w:p>
    <w:p w14:paraId="05034385">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第六条</w:t>
      </w:r>
      <w:r>
        <w:rPr>
          <w:rFonts w:hint="eastAsia" w:ascii="仿宋" w:hAnsi="仿宋" w:eastAsia="仿宋" w:cs="仿宋"/>
          <w:i w:val="0"/>
          <w:iCs w:val="0"/>
          <w:caps w:val="0"/>
          <w:color w:val="333333"/>
          <w:spacing w:val="0"/>
          <w:kern w:val="0"/>
          <w:sz w:val="32"/>
          <w:szCs w:val="32"/>
          <w:shd w:val="clear" w:fill="FFFFFF"/>
          <w:lang w:val="en-US" w:eastAsia="zh-CN" w:bidi="ar"/>
        </w:rPr>
        <w:t>  提交项目应当符合以下条件：</w:t>
      </w:r>
    </w:p>
    <w:p w14:paraId="353C5710">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（一）符合国家有关方针政策、福利彩票发行宗旨以及民政部确定的使用分配原则； </w:t>
      </w:r>
    </w:p>
    <w:p w14:paraId="5C40A81F">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（二）属于各自的职能范围并符合促进事业发展需要；</w:t>
      </w:r>
    </w:p>
    <w:p w14:paraId="23EA386B">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（三）有明确的项目目标、组织实施计划；</w:t>
      </w:r>
    </w:p>
    <w:p w14:paraId="7DBB64E3">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（四）经费测算符合相关领域国家或行业标准，并从严把握，精打细算。</w:t>
      </w:r>
    </w:p>
    <w:p w14:paraId="3598A54E">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 xml:space="preserve"> 第七条 </w:t>
      </w:r>
      <w:r>
        <w:rPr>
          <w:rFonts w:hint="eastAsia" w:ascii="仿宋" w:hAnsi="仿宋" w:eastAsia="仿宋" w:cs="仿宋"/>
          <w:i w:val="0"/>
          <w:iCs w:val="0"/>
          <w:caps w:val="0"/>
          <w:color w:val="333333"/>
          <w:spacing w:val="0"/>
          <w:kern w:val="0"/>
          <w:sz w:val="32"/>
          <w:szCs w:val="32"/>
          <w:shd w:val="clear" w:fill="FFFFFF"/>
          <w:lang w:val="en-US" w:eastAsia="zh-CN" w:bidi="ar"/>
        </w:rPr>
        <w:t>提交的预算申报材料应包括以下内容：</w:t>
      </w:r>
    </w:p>
    <w:p w14:paraId="4D5FE099">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（一）项目基本信息；</w:t>
      </w:r>
    </w:p>
    <w:p w14:paraId="2D4E5035">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（二）项目立项依据；</w:t>
      </w:r>
    </w:p>
    <w:p w14:paraId="58D4BC9E">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（三）项目实施方案；</w:t>
      </w:r>
    </w:p>
    <w:p w14:paraId="3677B1F1">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（四）项目支出计划；</w:t>
      </w:r>
    </w:p>
    <w:p w14:paraId="30DDF5A7">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（五）项目支出明细；</w:t>
      </w:r>
    </w:p>
    <w:p w14:paraId="06365364">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（六）项目支出绩效目标申报表;</w:t>
      </w:r>
    </w:p>
    <w:p w14:paraId="50620559">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（七）要求报送的其他材料。</w:t>
      </w:r>
    </w:p>
    <w:p w14:paraId="29C57299">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第八条</w:t>
      </w:r>
      <w:r>
        <w:rPr>
          <w:rFonts w:hint="eastAsia" w:ascii="仿宋" w:hAnsi="仿宋" w:eastAsia="仿宋" w:cs="仿宋"/>
          <w:i w:val="0"/>
          <w:iCs w:val="0"/>
          <w:caps w:val="0"/>
          <w:color w:val="333333"/>
          <w:spacing w:val="0"/>
          <w:kern w:val="0"/>
          <w:sz w:val="32"/>
          <w:szCs w:val="32"/>
          <w:shd w:val="clear" w:fill="FFFFFF"/>
          <w:lang w:val="en-US" w:eastAsia="zh-CN" w:bidi="ar"/>
        </w:rPr>
        <w:t> 民政局对提交的项目及申报材料进行汇总审核，报财务分管领导审核同意，上报上级有关部门。</w:t>
      </w:r>
    </w:p>
    <w:p w14:paraId="42BA42F6">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第九条</w:t>
      </w:r>
      <w:r>
        <w:rPr>
          <w:rFonts w:hint="eastAsia" w:ascii="仿宋" w:hAnsi="仿宋" w:eastAsia="仿宋" w:cs="仿宋"/>
          <w:i w:val="0"/>
          <w:iCs w:val="0"/>
          <w:caps w:val="0"/>
          <w:color w:val="333333"/>
          <w:spacing w:val="0"/>
          <w:kern w:val="0"/>
          <w:sz w:val="32"/>
          <w:szCs w:val="32"/>
          <w:shd w:val="clear" w:fill="FFFFFF"/>
          <w:lang w:val="en-US" w:eastAsia="zh-CN" w:bidi="ar"/>
        </w:rPr>
        <w:t> 项目预算执行实行项目负责人负责制，项目负责人要对所承担项目资金的使用和效益负责，不得擅自调整，不得截留、挤占、挪用资金，不得违规分包或转包，加强项目的日常监管，并自觉接受纪检、财政、审计等部门的监督和检查。</w:t>
      </w:r>
    </w:p>
    <w:p w14:paraId="02CB852B">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第十条</w:t>
      </w:r>
      <w:r>
        <w:rPr>
          <w:rFonts w:hint="eastAsia" w:ascii="仿宋" w:hAnsi="仿宋" w:eastAsia="仿宋" w:cs="仿宋"/>
          <w:i w:val="0"/>
          <w:iCs w:val="0"/>
          <w:caps w:val="0"/>
          <w:color w:val="333333"/>
          <w:spacing w:val="0"/>
          <w:kern w:val="0"/>
          <w:sz w:val="32"/>
          <w:szCs w:val="32"/>
          <w:shd w:val="clear" w:fill="FFFFFF"/>
          <w:lang w:val="en-US" w:eastAsia="zh-CN" w:bidi="ar"/>
        </w:rPr>
        <w:t> 项目资金使用中，涉及政府采购和购买服务的，要按照有关法定程序办理。要强化合同管理，加强对政府采购和购买服务合同、委托协议的审核以及成果验收管理，降低合同风险，确保资金使用效益。</w:t>
      </w:r>
    </w:p>
    <w:p w14:paraId="706598D2">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第十一条</w:t>
      </w:r>
      <w:r>
        <w:rPr>
          <w:rFonts w:hint="eastAsia" w:ascii="仿宋" w:hAnsi="仿宋" w:eastAsia="仿宋" w:cs="仿宋"/>
          <w:i w:val="0"/>
          <w:iCs w:val="0"/>
          <w:caps w:val="0"/>
          <w:color w:val="333333"/>
          <w:spacing w:val="0"/>
          <w:kern w:val="0"/>
          <w:sz w:val="32"/>
          <w:szCs w:val="32"/>
          <w:shd w:val="clear" w:fill="FFFFFF"/>
          <w:lang w:val="en-US" w:eastAsia="zh-CN" w:bidi="ar"/>
        </w:rPr>
        <w:t>  严格按照国家财务规章制度、公益金管理有关规定支出资金，严禁虚报套取、挤占、挪用，不得用于：</w:t>
      </w:r>
    </w:p>
    <w:p w14:paraId="05201C5E">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（一）因公出国（境）费、公务接待费、公务用车购置及运行费；</w:t>
      </w:r>
    </w:p>
    <w:p w14:paraId="006A3FFE">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（二）行政事业单位的基本支出；</w:t>
      </w:r>
    </w:p>
    <w:p w14:paraId="1B36A921">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（三）发放工资、奖金、津补贴等人员支出；</w:t>
      </w:r>
    </w:p>
    <w:p w14:paraId="0BFDE5D6">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（四）以营利为目的的活动；</w:t>
      </w:r>
    </w:p>
    <w:p w14:paraId="76B634E1">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（五）不符合规定用途的支出。</w:t>
      </w:r>
    </w:p>
    <w:p w14:paraId="6682E8AD">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 第十二条</w:t>
      </w:r>
      <w:r>
        <w:rPr>
          <w:rFonts w:hint="eastAsia" w:ascii="仿宋" w:hAnsi="仿宋" w:eastAsia="仿宋" w:cs="仿宋"/>
          <w:i w:val="0"/>
          <w:iCs w:val="0"/>
          <w:caps w:val="0"/>
          <w:color w:val="333333"/>
          <w:spacing w:val="0"/>
          <w:kern w:val="0"/>
          <w:sz w:val="32"/>
          <w:szCs w:val="32"/>
          <w:shd w:val="clear" w:fill="FFFFFF"/>
          <w:lang w:val="en-US" w:eastAsia="zh-CN" w:bidi="ar"/>
        </w:rPr>
        <w:t>  上级补助项目资金要实行专项管理，专款专用，不得截留、挤占、挪用。要督促资金使用部门、单位建立项目责任制、制定资金使用实施方案，加快项目执行进度。</w:t>
      </w:r>
    </w:p>
    <w:p w14:paraId="64519DDE">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第十三条</w:t>
      </w:r>
      <w:r>
        <w:rPr>
          <w:rFonts w:hint="eastAsia" w:ascii="仿宋" w:hAnsi="仿宋" w:eastAsia="仿宋" w:cs="仿宋"/>
          <w:i w:val="0"/>
          <w:iCs w:val="0"/>
          <w:caps w:val="0"/>
          <w:color w:val="333333"/>
          <w:spacing w:val="0"/>
          <w:kern w:val="0"/>
          <w:sz w:val="32"/>
          <w:szCs w:val="32"/>
          <w:shd w:val="clear" w:fill="FFFFFF"/>
          <w:lang w:val="en-US" w:eastAsia="zh-CN" w:bidi="ar"/>
        </w:rPr>
        <w:t>  公益金资助的基本建设设施、设备、社会福利服务项目及其他社会公益活动等，应当依据有关规定以显著方式标明资助标识。</w:t>
      </w:r>
    </w:p>
    <w:p w14:paraId="0515EDEF">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第十四条</w:t>
      </w:r>
      <w:r>
        <w:rPr>
          <w:rFonts w:hint="eastAsia" w:ascii="仿宋" w:hAnsi="仿宋" w:eastAsia="仿宋" w:cs="仿宋"/>
          <w:i w:val="0"/>
          <w:iCs w:val="0"/>
          <w:caps w:val="0"/>
          <w:color w:val="333333"/>
          <w:spacing w:val="0"/>
          <w:kern w:val="0"/>
          <w:sz w:val="32"/>
          <w:szCs w:val="32"/>
          <w:shd w:val="clear" w:fill="FFFFFF"/>
          <w:lang w:val="en-US" w:eastAsia="zh-CN" w:bidi="ar"/>
        </w:rPr>
        <w:t>  完善公益金使用管理信息公开制度，及时于县政府网站公开公益金使用信息。</w:t>
      </w:r>
    </w:p>
    <w:p w14:paraId="4858EBFE">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第十五条</w:t>
      </w:r>
      <w:r>
        <w:rPr>
          <w:rFonts w:hint="eastAsia" w:ascii="仿宋" w:hAnsi="仿宋" w:eastAsia="仿宋" w:cs="仿宋"/>
          <w:i w:val="0"/>
          <w:iCs w:val="0"/>
          <w:caps w:val="0"/>
          <w:color w:val="333333"/>
          <w:spacing w:val="0"/>
          <w:kern w:val="0"/>
          <w:sz w:val="32"/>
          <w:szCs w:val="32"/>
          <w:shd w:val="clear" w:fill="FFFFFF"/>
          <w:lang w:val="en-US" w:eastAsia="zh-CN" w:bidi="ar"/>
        </w:rPr>
        <w:t>  建立公益金使用审计制度。要加大彩票公益金审计监督力度，对民政项目组织实施全面审计，对公益金项目使用进行绩效评价，开展事中绩效目标监控及事后绩效自评工作。</w:t>
      </w:r>
    </w:p>
    <w:p w14:paraId="16D8D90E">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第十六条</w:t>
      </w:r>
      <w:r>
        <w:rPr>
          <w:rFonts w:hint="eastAsia" w:ascii="仿宋" w:hAnsi="仿宋" w:eastAsia="仿宋" w:cs="仿宋"/>
          <w:i w:val="0"/>
          <w:iCs w:val="0"/>
          <w:caps w:val="0"/>
          <w:color w:val="333333"/>
          <w:spacing w:val="0"/>
          <w:kern w:val="0"/>
          <w:sz w:val="32"/>
          <w:szCs w:val="32"/>
          <w:shd w:val="clear" w:fill="FFFFFF"/>
          <w:lang w:val="en-US" w:eastAsia="zh-CN" w:bidi="ar"/>
        </w:rPr>
        <w:t>  建立健全公益金使用责任追究制度。将项目单位彩票公益金使用管理情况纳入年度财务制度执行情况考核范围。对公益金使用管理中出现以下行为之一的，依法依纪追究有关单位和个人责任。</w:t>
      </w:r>
    </w:p>
    <w:p w14:paraId="4E0D5326">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（一）虚报套取、挤占、挪用公益金；</w:t>
      </w:r>
    </w:p>
    <w:p w14:paraId="79B3393B">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（二）违规用于第十九条明示的“不得用于”支出项；</w:t>
      </w:r>
    </w:p>
    <w:p w14:paraId="527847A8">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（三）违规分包或转包；</w:t>
      </w:r>
    </w:p>
    <w:p w14:paraId="7659ED04">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（四）其他违法违纪行为。</w:t>
      </w:r>
    </w:p>
    <w:p w14:paraId="682D389D">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Style w:val="6"/>
          <w:rFonts w:hint="eastAsia" w:ascii="仿宋" w:hAnsi="仿宋" w:eastAsia="仿宋" w:cs="仿宋"/>
          <w:i w:val="0"/>
          <w:iCs w:val="0"/>
          <w:caps w:val="0"/>
          <w:color w:val="333333"/>
          <w:spacing w:val="0"/>
          <w:kern w:val="0"/>
          <w:sz w:val="32"/>
          <w:szCs w:val="32"/>
          <w:shd w:val="clear" w:fill="FFFFFF"/>
          <w:lang w:val="en-US" w:eastAsia="zh-CN" w:bidi="ar"/>
        </w:rPr>
        <w:t>第十七条</w:t>
      </w:r>
      <w:r>
        <w:rPr>
          <w:rFonts w:hint="eastAsia" w:ascii="仿宋" w:hAnsi="仿宋" w:eastAsia="仿宋" w:cs="仿宋"/>
          <w:i w:val="0"/>
          <w:iCs w:val="0"/>
          <w:caps w:val="0"/>
          <w:color w:val="333333"/>
          <w:spacing w:val="0"/>
          <w:kern w:val="0"/>
          <w:sz w:val="32"/>
          <w:szCs w:val="32"/>
          <w:shd w:val="clear" w:fill="FFFFFF"/>
          <w:lang w:val="en-US" w:eastAsia="zh-CN" w:bidi="ar"/>
        </w:rPr>
        <w:t>  本办法由县民政局负责解释。 </w:t>
      </w:r>
    </w:p>
    <w:p w14:paraId="6FA488EE">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p>
    <w:p w14:paraId="4319C9EB">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p>
    <w:p w14:paraId="0BC8819B">
      <w:pPr>
        <w:keepNext w:val="0"/>
        <w:keepLines w:val="0"/>
        <w:pageBreakBefore w:val="0"/>
        <w:widowControl/>
        <w:suppressLineNumbers w:val="0"/>
        <w:shd w:val="clear" w:fill="FFFFFF"/>
        <w:kinsoku/>
        <w:wordWrap w:val="0"/>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 xml:space="preserve">天镇县民政局  </w:t>
      </w:r>
    </w:p>
    <w:p w14:paraId="5623572D">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2024</w:t>
      </w:r>
      <w:bookmarkStart w:id="0" w:name="_GoBack"/>
      <w:bookmarkEnd w:id="0"/>
      <w:r>
        <w:rPr>
          <w:rFonts w:hint="eastAsia" w:ascii="仿宋" w:hAnsi="仿宋" w:eastAsia="仿宋" w:cs="仿宋"/>
          <w:i w:val="0"/>
          <w:iCs w:val="0"/>
          <w:caps w:val="0"/>
          <w:color w:val="333333"/>
          <w:spacing w:val="0"/>
          <w:kern w:val="0"/>
          <w:sz w:val="32"/>
          <w:szCs w:val="32"/>
          <w:shd w:val="clear" w:fill="FFFFFF"/>
          <w:lang w:val="en-US" w:eastAsia="zh-CN" w:bidi="ar"/>
        </w:rPr>
        <w:t>年1月10日</w:t>
      </w:r>
    </w:p>
    <w:p w14:paraId="65A36CB6">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40" w:firstLineChars="200"/>
        <w:jc w:val="left"/>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 </w:t>
      </w:r>
      <w:r>
        <w:rPr>
          <w:rFonts w:hint="eastAsia" w:ascii="仿宋" w:hAnsi="仿宋" w:eastAsia="仿宋" w:cs="仿宋"/>
          <w:sz w:val="32"/>
          <w:szCs w:val="32"/>
          <w:lang w:val="en-US" w:eastAsia="zh-CN"/>
        </w:rPr>
        <w:t xml:space="preserve">                                 </w:t>
      </w:r>
      <w:r>
        <w:rPr>
          <w:rFonts w:hint="eastAsia" w:ascii="宋体" w:hAnsi="宋体" w:eastAsia="宋体" w:cs="宋体"/>
          <w:sz w:val="24"/>
          <w:szCs w:val="24"/>
          <w:lang w:val="en-US" w:eastAsia="zh-CN"/>
        </w:rPr>
        <w:t xml:space="preserve">          </w:t>
      </w:r>
    </w:p>
    <w:sectPr>
      <w:pgSz w:w="11906" w:h="16838"/>
      <w:pgMar w:top="1327" w:right="1689" w:bottom="1327"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ZTQ2MjM2OTQyZDhmYzQ4MGJmOTMzZTJlZGM2ZTAifQ=="/>
  </w:docVars>
  <w:rsids>
    <w:rsidRoot w:val="33E27C9F"/>
    <w:rsid w:val="10C01AFE"/>
    <w:rsid w:val="33E27C9F"/>
    <w:rsid w:val="3C2E1980"/>
    <w:rsid w:val="3E3645F1"/>
    <w:rsid w:val="3EE22A57"/>
    <w:rsid w:val="53BE55FB"/>
    <w:rsid w:val="58204104"/>
    <w:rsid w:val="6D945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1671</Words>
  <Characters>1675</Characters>
  <Lines>0</Lines>
  <Paragraphs>0</Paragraphs>
  <TotalTime>11</TotalTime>
  <ScaleCrop>false</ScaleCrop>
  <LinksUpToDate>false</LinksUpToDate>
  <CharactersWithSpaces>1768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2023-02-08T01:32:00Z</dcterms:created>
  <dc:creator>久亦旧</dc:creator>
  <cp:lastModifiedBy>South</cp:lastModifiedBy>
  <cp:lastPrinted>2025-06-24T08:32:09Z</cp:lastPrinted>
  <dcterms:modified xsi:type="dcterms:W3CDTF">2025-06-24T08:47:03Z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B6380C101FAD416FA9398CFA9F0C6E52_13</vt:lpwstr>
  </property>
  <property fmtid="{D5CDD505-2E9C-101B-9397-08002B2CF9AE}" pid="4" name="KSOTemplateDocerSaveRecord">
    <vt:lpwstr>eyJoZGlkIjoiZjQ4N2Y3MWVhODNjMWEwZjFiODRjNzA0ZDM3MTUyNGYiLCJ1c2VySWQiOiI2OTM5NzMyNDIifQ==</vt:lpwstr>
  </property>
</Properties>
</file>