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5A0" w:rsidRDefault="005855A0" w:rsidP="005855A0">
      <w:pPr>
        <w:pStyle w:val="TOC3"/>
        <w:ind w:leftChars="0" w:left="0" w:firstLineChars="200" w:firstLine="640"/>
        <w:rPr>
          <w:lang w:eastAsia="zh-CN"/>
        </w:rPr>
      </w:pPr>
      <w:r>
        <w:rPr>
          <w:rFonts w:ascii="黑体" w:eastAsia="黑体" w:hAnsi="黑体" w:cs="黑体" w:hint="eastAsia"/>
          <w:color w:val="auto"/>
          <w:sz w:val="32"/>
          <w:szCs w:val="32"/>
          <w:lang w:eastAsia="zh-CN" w:bidi="ar"/>
        </w:rPr>
        <w:t>一、认领中央层面设定的行政许可事项257项</w:t>
      </w:r>
    </w:p>
    <w:tbl>
      <w:tblPr>
        <w:tblW w:w="13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278"/>
        <w:gridCol w:w="1125"/>
        <w:gridCol w:w="5587"/>
        <w:gridCol w:w="1750"/>
        <w:gridCol w:w="1130"/>
      </w:tblGrid>
      <w:tr w:rsidR="005855A0" w:rsidTr="005855A0">
        <w:trPr>
          <w:cantSplit/>
          <w:trHeight w:val="454"/>
          <w:tblHeader/>
          <w:jc w:val="center"/>
        </w:trPr>
        <w:tc>
          <w:tcPr>
            <w:tcW w:w="645" w:type="dxa"/>
            <w:tcBorders>
              <w:top w:val="single" w:sz="4" w:space="0" w:color="auto"/>
            </w:tcBorders>
            <w:shd w:val="clear" w:color="auto" w:fill="auto"/>
            <w:vAlign w:val="center"/>
          </w:tcPr>
          <w:p w:rsidR="005855A0" w:rsidRDefault="005855A0" w:rsidP="005855A0">
            <w:pPr>
              <w:spacing w:line="280" w:lineRule="exact"/>
              <w:jc w:val="center"/>
              <w:textAlignment w:val="center"/>
              <w:rPr>
                <w:rFonts w:ascii="黑体" w:eastAsia="黑体" w:hAnsi="黑体" w:cs="黑体"/>
                <w:sz w:val="20"/>
                <w:szCs w:val="20"/>
              </w:rPr>
            </w:pPr>
            <w:bookmarkStart w:id="0" w:name="OLE_LINK1"/>
            <w:r>
              <w:rPr>
                <w:rFonts w:ascii="黑体" w:eastAsia="黑体" w:hAnsi="黑体" w:cs="黑体" w:hint="eastAsia"/>
                <w:color w:val="000000"/>
                <w:sz w:val="20"/>
                <w:szCs w:val="20"/>
                <w:lang w:bidi="ar"/>
              </w:rPr>
              <w:t>序号</w:t>
            </w:r>
          </w:p>
        </w:tc>
        <w:tc>
          <w:tcPr>
            <w:tcW w:w="3278" w:type="dxa"/>
            <w:tcBorders>
              <w:top w:val="single" w:sz="4" w:space="0" w:color="auto"/>
            </w:tcBorders>
            <w:shd w:val="clear" w:color="auto" w:fill="auto"/>
            <w:vAlign w:val="center"/>
          </w:tcPr>
          <w:p w:rsidR="005855A0" w:rsidRDefault="005855A0" w:rsidP="005855A0">
            <w:pPr>
              <w:spacing w:line="280" w:lineRule="exact"/>
              <w:jc w:val="center"/>
              <w:textAlignment w:val="center"/>
              <w:rPr>
                <w:rFonts w:ascii="黑体" w:eastAsia="黑体" w:hAnsi="黑体" w:cs="黑体"/>
                <w:sz w:val="20"/>
                <w:szCs w:val="20"/>
              </w:rPr>
            </w:pPr>
            <w:r>
              <w:rPr>
                <w:rFonts w:ascii="黑体" w:eastAsia="黑体" w:hAnsi="黑体" w:cs="黑体" w:hint="eastAsia"/>
                <w:color w:val="000000"/>
                <w:sz w:val="20"/>
                <w:szCs w:val="20"/>
                <w:lang w:bidi="ar"/>
              </w:rPr>
              <w:t>许可事项名称</w:t>
            </w:r>
          </w:p>
        </w:tc>
        <w:tc>
          <w:tcPr>
            <w:tcW w:w="1125" w:type="dxa"/>
            <w:tcBorders>
              <w:top w:val="single" w:sz="4" w:space="0" w:color="auto"/>
            </w:tcBorders>
            <w:shd w:val="clear" w:color="auto" w:fill="auto"/>
            <w:vAlign w:val="center"/>
          </w:tcPr>
          <w:p w:rsidR="005855A0" w:rsidRDefault="005855A0" w:rsidP="005855A0">
            <w:pPr>
              <w:spacing w:line="280" w:lineRule="exact"/>
              <w:jc w:val="center"/>
              <w:textAlignment w:val="center"/>
              <w:rPr>
                <w:rFonts w:ascii="黑体" w:eastAsia="黑体" w:hAnsi="黑体" w:cs="黑体"/>
                <w:sz w:val="20"/>
                <w:szCs w:val="20"/>
              </w:rPr>
            </w:pPr>
            <w:r>
              <w:rPr>
                <w:rFonts w:ascii="黑体" w:eastAsia="黑体" w:hAnsi="黑体" w:cs="黑体" w:hint="eastAsia"/>
                <w:color w:val="000000"/>
                <w:sz w:val="20"/>
                <w:szCs w:val="20"/>
                <w:lang w:bidi="ar"/>
              </w:rPr>
              <w:t>省级业务指导部门</w:t>
            </w:r>
          </w:p>
        </w:tc>
        <w:tc>
          <w:tcPr>
            <w:tcW w:w="5587" w:type="dxa"/>
            <w:tcBorders>
              <w:top w:val="single" w:sz="4" w:space="0" w:color="auto"/>
            </w:tcBorders>
            <w:shd w:val="clear" w:color="auto" w:fill="auto"/>
            <w:vAlign w:val="center"/>
          </w:tcPr>
          <w:p w:rsidR="005855A0" w:rsidRDefault="005855A0" w:rsidP="005855A0">
            <w:pPr>
              <w:spacing w:line="280" w:lineRule="exact"/>
              <w:jc w:val="both"/>
              <w:textAlignment w:val="center"/>
              <w:rPr>
                <w:rFonts w:ascii="黑体" w:eastAsia="黑体" w:hAnsi="黑体" w:cs="黑体"/>
                <w:sz w:val="20"/>
                <w:szCs w:val="20"/>
              </w:rPr>
            </w:pPr>
            <w:r>
              <w:rPr>
                <w:rFonts w:ascii="黑体" w:eastAsia="黑体" w:hAnsi="黑体" w:cs="黑体" w:hint="eastAsia"/>
                <w:color w:val="000000"/>
                <w:sz w:val="20"/>
                <w:szCs w:val="20"/>
                <w:lang w:bidi="ar"/>
              </w:rPr>
              <w:t>设定和实施依据</w:t>
            </w:r>
          </w:p>
        </w:tc>
        <w:tc>
          <w:tcPr>
            <w:tcW w:w="1750" w:type="dxa"/>
            <w:tcBorders>
              <w:top w:val="single" w:sz="4" w:space="0" w:color="auto"/>
            </w:tcBorders>
            <w:shd w:val="clear" w:color="auto" w:fill="auto"/>
            <w:vAlign w:val="center"/>
          </w:tcPr>
          <w:p w:rsidR="005855A0" w:rsidRDefault="005855A0" w:rsidP="005855A0">
            <w:pPr>
              <w:spacing w:line="280" w:lineRule="exact"/>
              <w:jc w:val="center"/>
              <w:textAlignment w:val="center"/>
              <w:rPr>
                <w:rFonts w:ascii="黑体" w:eastAsia="黑体" w:hAnsi="黑体" w:cs="黑体"/>
                <w:sz w:val="20"/>
                <w:szCs w:val="20"/>
                <w:lang w:bidi="ar"/>
              </w:rPr>
            </w:pPr>
            <w:r>
              <w:rPr>
                <w:rFonts w:ascii="黑体" w:eastAsia="黑体" w:hAnsi="黑体" w:cs="黑体" w:hint="eastAsia"/>
                <w:color w:val="000000" w:themeColor="text1"/>
                <w:sz w:val="20"/>
                <w:szCs w:val="20"/>
                <w:lang w:bidi="ar"/>
              </w:rPr>
              <w:t>实施部门</w:t>
            </w:r>
          </w:p>
        </w:tc>
        <w:tc>
          <w:tcPr>
            <w:tcW w:w="1130" w:type="dxa"/>
            <w:tcBorders>
              <w:top w:val="single" w:sz="4" w:space="0" w:color="auto"/>
            </w:tcBorders>
            <w:shd w:val="clear" w:color="auto" w:fill="auto"/>
            <w:vAlign w:val="center"/>
          </w:tcPr>
          <w:p w:rsidR="005855A0" w:rsidRDefault="005855A0" w:rsidP="005855A0">
            <w:pPr>
              <w:spacing w:line="280" w:lineRule="exact"/>
              <w:jc w:val="center"/>
              <w:textAlignment w:val="center"/>
              <w:rPr>
                <w:rFonts w:ascii="黑体" w:eastAsia="黑体" w:hAnsi="黑体" w:cs="黑体"/>
                <w:color w:val="000000" w:themeColor="text1"/>
                <w:sz w:val="20"/>
                <w:szCs w:val="20"/>
                <w:lang w:bidi="ar"/>
              </w:rPr>
            </w:pPr>
            <w:r>
              <w:rPr>
                <w:rFonts w:ascii="黑体" w:eastAsia="黑体" w:hAnsi="黑体" w:cs="黑体" w:hint="eastAsia"/>
                <w:color w:val="000000" w:themeColor="text1"/>
                <w:sz w:val="20"/>
                <w:szCs w:val="20"/>
                <w:lang w:bidi="ar"/>
              </w:rPr>
              <w:t>监管部门</w:t>
            </w:r>
          </w:p>
        </w:tc>
      </w:tr>
      <w:tr w:rsidR="005855A0" w:rsidTr="00644347">
        <w:trPr>
          <w:cantSplit/>
          <w:trHeight w:val="1860"/>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固定资产投资项目核准</w:t>
            </w:r>
          </w:p>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（含国发〔2016〕72号文件规定的</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外商投资项目）</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省发展改革委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《企业投资项目核准和备案管理条例》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《国务院关于发布政府核准的投资项目目录（2016年本）的通知》（国发〔2016〕72号）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县政府（行政审批局承办）</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县发改局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中介机构从事代理记账业务审批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省财政厅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《中华人民共和国会计法》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县财政局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民办、中外合作开办中等及以下</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学校和其他教育机构筹设审批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省教育厅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《中华人民共和国民办教育促进法》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《中华人民共和国中外合作办学条例》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《国务院关于当前发展学前教育的若干意见》（国发〔2010〕41号）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县教科局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中等及以下学校和其他教育机构</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设置审批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省教育厅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《中华人民共和国教育法》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《中华人民共和国民办教育促进法》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《中华人民共和国民办教育促进法实施条例》</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《中华人民共和国中外合作办学条例》</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《国务院关于当前发展学前教育的若干意见》（国发〔2010〕41号）</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《国务院办公厅关于规范校外培训机构发展的意见》（国办发〔2018〕80号）</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《中共中央办公厅国务院办公厅印发〈关于进一步减轻义务教育阶段学生作业负担和校外培训负担的意见〉的通知》</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县教科局</w:t>
            </w:r>
          </w:p>
        </w:tc>
      </w:tr>
      <w:tr w:rsidR="005855A0" w:rsidTr="005855A0">
        <w:trPr>
          <w:cantSplit/>
          <w:trHeight w:val="454"/>
          <w:jc w:val="center"/>
        </w:trPr>
        <w:tc>
          <w:tcPr>
            <w:tcW w:w="645" w:type="dxa"/>
            <w:shd w:val="clear" w:color="auto" w:fill="auto"/>
            <w:vAlign w:val="center"/>
          </w:tcPr>
          <w:p w:rsidR="005855A0" w:rsidRDefault="005855A0" w:rsidP="005855A0">
            <w:pPr>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从事文艺、体育等专业训练的</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社会组织自行实施义务教育审批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省教育厅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《中华人民共和国义务教育法》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县教科局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校车使用许可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省教育厅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《校车安全管理条例》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县政府（行政审批局承办）</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县教科局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教师资格认定</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省教育厅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《中华人民共和国教师法》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《教师资格条例》《国家职业资格目录（2021年版）》</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县教科局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适龄儿童、少年因身体状况</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需要延缓入学或者休学审批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省教育厅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《中华人民共和国义务教育法》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县教科局、乡镇政府</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县教科局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民用枪支及枪支主要零部件、弹药配置许可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《中华人民共和国枪支管理法》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10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举行集会游行示威许可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《中华人民共和国集会游行示威法》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《中华人民共和国集会游行示威法实施条例》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大型群众性活动安全许可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《中华人民共和国消防法》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《大型群众性活动安全管理条例》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公章刻制业特种行业许可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《印铸刻字业暂行管理规则》</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《国务院对确需保留的行政审批项目设定行政许可的决定》</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《公安部关于深化娱乐服务场所和特种行业治安管理改革进一步依法加强事中事后监管的工作意见》（公治〔2017〕529号）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旅馆业特种行业许可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《旅馆业治安管理办法》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《国务院对确需保留的行政审批项目设定行政许可的决定》</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《公安部关于深化娱乐服务场所和特种行业治安管理改革进一步依法加强事中事后监管的工作意见》（公治〔2017〕529号）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互联网上网服务营业场所信息</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网络安全审核</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《互联网上网服务营业场所管理条例》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举办焰火晚会及其他大型焰火</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燃放活动许可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《烟花爆竹安全管理条例》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《公安部办公厅关于贯彻执行〈大型焰火燃放作业人员资格条件及管理〉和〈大型焰火燃放作业单位资质条件及管理〉有关事项的通知》（公治〔2010〕592号）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16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烟花爆竹道路运输许可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《烟花爆竹安全管理条例》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《公安部三局关于优化烟花爆竹道路运输许可审批进一步深化烟花爆竹“放管服改革工作的通知》（公治安明发〔2019〕218号）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民用爆炸物品购买许可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《民用爆炸物品安全管理条例》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民用爆炸物品运输许可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《民用爆炸物品安全管理条例》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剧毒化学品购买许可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《危险化学品安全管理条例》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剧毒化学品道路运输通行许可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《危险化学品安全管理条例》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放射性物品道路运输许可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《中华人民共和国核安全法》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《放射性物品运输安全管理条例》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运输危险化学品的车辆进入危险</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化学品运输车辆限制通行区域审批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《危险化学品安全管理条例》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易制毒化学品购买许可（除第一类</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中的药品类易制毒化学品外）</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《中华人民共和国禁毒法》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《易制毒化学品管理条例》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易制毒化学品运输许可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《中华人民共和国禁毒法》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《易制毒化学品管理条例》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金融机构营业场所和金库安全防范</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设施建设方案审批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《国务院对确需保留的行政审批项目设定行政许可的决定》</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《金融机构营业场所和金库安全防范设施建设许可实施办法》（公安部令第86号）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26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金融机构营业场所和金库安全防范</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设施建设工程验收</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《国务院对确需保留的行政审批项目设定行政许可的决定》</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《金融机构营业场所和金库安全防范设施建设许可实施办法》（公安部令第86号）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b/>
                <w:bCs/>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highlight w:val="yellow"/>
              </w:rPr>
            </w:pPr>
            <w:r>
              <w:rPr>
                <w:rFonts w:ascii="仿宋_GB2312" w:eastAsia="仿宋_GB2312" w:hAnsi="仿宋_GB2312" w:cs="仿宋_GB2312" w:hint="eastAsia"/>
                <w:color w:val="000000"/>
                <w:sz w:val="20"/>
                <w:szCs w:val="20"/>
                <w:lang w:bidi="ar"/>
              </w:rPr>
              <w:t>27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机动车登记</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《中华人民共和国道路交通安全法》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28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机动车临时通行牌证核发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《中华人民共和国道路交通安全法》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29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机动车检验合格标志核发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《中华人民共和国道路交通安全法》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30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机动车驾驶证核发、审验</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《中华人民共和国道路交通安全法》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31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校车驾驶资格许可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《校车安全管理条例》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32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非机动车登记</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《中华人民共和国道路交通安全法》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33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涉路施工交通安全审查</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《中华人民共和国道路交通安全法》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《中华人民共和国公路法》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《城市道路管理条例》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34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户口迁移审批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《中华人民共和国户口登记条例》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35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普通护照签发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《中华人民共和国护照法》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36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出入境通行证签发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《中华人民共和国护照法》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《中国公民因私事往来香港地区或者澳门地区的暂行管理办法》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37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内地居民前往港澳通行证、往来</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港澳通行证及签注签发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《中国公民因私事往来香港地区或者澳门地区的暂行管理办法》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38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大陆居民往来台湾通行证及</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签注签发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《中国公民往来台湾地区管理办法》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39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台湾居民来往大陆通行证签发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《中国公民往来台湾地区管理办法》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40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犬类准养证核发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省公安厅</w:t>
            </w:r>
          </w:p>
        </w:tc>
        <w:tc>
          <w:tcPr>
            <w:tcW w:w="5587" w:type="dxa"/>
            <w:shd w:val="clear" w:color="auto" w:fill="auto"/>
            <w:vAlign w:val="center"/>
          </w:tcPr>
          <w:p w:rsidR="005855A0" w:rsidRDefault="005855A0" w:rsidP="005855A0">
            <w:pPr>
              <w:textAlignment w:val="center"/>
              <w:rPr>
                <w:rFonts w:ascii="仿宋_GB2312" w:eastAsia="仿宋_GB2312" w:hAnsi="宋体" w:cs="仿宋_GB2312"/>
                <w:sz w:val="20"/>
                <w:szCs w:val="20"/>
                <w:lang w:bidi="ar"/>
              </w:rPr>
            </w:pPr>
            <w:r>
              <w:rPr>
                <w:rFonts w:ascii="仿宋_GB2312" w:eastAsia="仿宋_GB2312" w:hAnsi="宋体" w:cs="仿宋_GB2312"/>
                <w:color w:val="000000"/>
                <w:sz w:val="20"/>
                <w:szCs w:val="20"/>
                <w:lang w:bidi="ar"/>
              </w:rPr>
              <w:t>《中华人民共和国动物防疫法》</w:t>
            </w:r>
          </w:p>
          <w:p w:rsidR="005855A0" w:rsidRDefault="005855A0" w:rsidP="005855A0">
            <w:pPr>
              <w:textAlignment w:val="center"/>
              <w:rPr>
                <w:rFonts w:ascii="仿宋_GB2312" w:eastAsia="仿宋_GB2312" w:hAnsi="宋体" w:cs="仿宋_GB2312"/>
                <w:kern w:val="2"/>
                <w:sz w:val="20"/>
                <w:szCs w:val="20"/>
              </w:rPr>
            </w:pPr>
            <w:r>
              <w:rPr>
                <w:rFonts w:ascii="仿宋_GB2312" w:eastAsia="仿宋_GB2312" w:hAnsi="宋体" w:cs="仿宋_GB2312"/>
                <w:color w:val="000000"/>
                <w:sz w:val="20"/>
                <w:szCs w:val="20"/>
                <w:lang w:bidi="ar"/>
              </w:rPr>
              <w:t>《中华人民共和国传染病防治法实施办法》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县公安局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41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社会团体成立、变更、注销登记及</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修改章程核准</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省民政厅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《社会团体登记管理条例》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县民政局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42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民办非企业单位成立、变更、</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注销登记及修改章程核准</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省民政厅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《民办非企业单位登记管理暂行条例》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tabs>
                <w:tab w:val="left" w:pos="344"/>
              </w:tabs>
              <w:spacing w:line="280" w:lineRule="exact"/>
              <w:jc w:val="center"/>
              <w:textAlignment w:val="center"/>
              <w:rPr>
                <w:rFonts w:ascii="仿宋_GB2312" w:eastAsia="仿宋_GB2312" w:hAnsi="仿宋_GB2312" w:cs="仿宋_GB2312"/>
                <w:b/>
                <w:bCs/>
                <w:sz w:val="20"/>
                <w:szCs w:val="20"/>
                <w:lang w:bidi="ar"/>
              </w:rPr>
            </w:pPr>
            <w:r>
              <w:rPr>
                <w:rFonts w:ascii="仿宋_GB2312" w:eastAsia="仿宋_GB2312" w:hAnsi="仿宋_GB2312" w:cs="仿宋_GB2312" w:hint="eastAsia"/>
                <w:color w:val="000000"/>
                <w:sz w:val="20"/>
                <w:szCs w:val="20"/>
                <w:lang w:bidi="ar"/>
              </w:rPr>
              <w:t>县民政局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43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宗教活动场所法人成立、变更、</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注销登记</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省民政厅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《宗教事务条例》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县统战部</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县统战部</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44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慈善组织公开募捐资格审批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省民政厅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《中华人民共和国慈善法》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县民政局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45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殡葬设施建设审批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省民政厅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《殡葬管理条例》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县民政局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46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地名命名、更名审批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省民政厅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《地名管理条例》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县民政局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47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职业培训学校筹设审批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省人社厅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《中华人民共和国民办教育促进法》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《中华人民共和国中外合作办学条例》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县人社局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48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职业培训学校办学许可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省人社厅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《中华人民共和国民办教育促进法》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《中华人民共和国中外合作办学条例》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县人社局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49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人力资源服务许可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省人社厅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《中华人民共和国就业促进法》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《人力资源市场暂行条例》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县人社局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50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劳务派遣经营许可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省人社厅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《中华人民共和国劳动合同法》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《劳务派遣行政许可实施办法》（人力资源和社会保障部令第19号）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县人社局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51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企业实行不定时工作制和</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综合计算工时工作制审批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省人社厅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《中华人民共和国劳动法》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《关于企业实行不定时工作制和综合计算工时工作制的审批办法》（劳部发〔1994〕503号）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县人社局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52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开采矿产资源审批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省自然资源厅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《中华人民共和国矿产资源法》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《中华人民共和国矿产资源法实施细则》</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《矿产资源开采登记管理办法》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县自然资源局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县自然资源局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53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法人或者其他组织需要利用属于</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国家秘密的基础测绘成果审批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省自然资源厅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《中华人民共和国测绘成果管理条例》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《国家测绘局关于印发〈基础测绘成果提供使用管理暂行办法〉的通知》（国测法字〔2006〕13号）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县自然资源局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县自然资源局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54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建设项目用地预审与选址意见书</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核发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省自然资源厅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《中华人民共和国城乡规划法》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《中华人民共和国土地管理法》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《中华人民共和国土地管理法实施条例》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《建设项目用地预审管理办法》（国土资源部令第68号）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县自然资源局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55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国有建设用地使用权出让后</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土地使用权分割转让批准</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省自然资源厅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《中华人民共和国城镇国有土地使用权出让和转让暂行条例》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县自然资源局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县自然资源局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56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乡（镇）村企业使用集体建设</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用地审批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省自然资源厅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《中华人民共和国土地管理法》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县政府（自然</w:t>
            </w:r>
          </w:p>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资源局承办）</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县自然资源局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57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乡（镇）村公共设施、公益事业</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使用集体建设用地审批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省自然资源厅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《中华人民共和国土地管理法》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县政府（自然</w:t>
            </w:r>
          </w:p>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资源局承办）</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县自然资源局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58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临时用地审批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省自然资源厅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《中华人民共和国土地管理法》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县自然资源局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县自然资源局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59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建设用地、临时建设用地规划许可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省自然资源厅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《中华人民共和国城乡规划法》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县自然资源局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60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开发未确定使用权的国有荒山、</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荒地、荒滩从事生产审查</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省自然资源厅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《中华人民共和国土地管理法》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《中华人民共和国土地管理法实施条例》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县政府（自然</w:t>
            </w:r>
          </w:p>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资源局承办）</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县自然资源局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61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建设工程、临时建设工程规划许可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省自然资源厅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《中华人民共和国城乡规划法》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县自然资源局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62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乡村建设规划许可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省自然资源厅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《中华人民共和国城乡规划法》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各乡（镇）政府</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63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一般建设项目环境影响评价审批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省生态环境厅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《中华人民共和国环境保护法》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《中华人民共和国环境影响评价法》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《中华人民共和国水污染防治法》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《中华人民共和国大气污染防治法》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《中华人民共和国土壤污染防治法》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《中华人民共和国固体废物污染环境防治法》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《中华人民共和国环境噪声污染防治法》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《建设项目环境保护管理条例》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大同市生态环境局天镇分局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64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核与辐射类建设项目环境影响评价审批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省生态环境厅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《中华人民共和国环境保护法》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《中华人民共和国环境影响评价法》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《中华人民共和国放射性污染防治法》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《中华人民共和国核安全法》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大同市生态环境局天镇分局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大同市生态环境局天镇分局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65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江河、湖泊新建、改建或者扩大</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排污口审批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省生态环境厅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《中华人民共和国水法》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《中华人民共和国水污染防治法》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《中华人民共和国长江保护法》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《深化党和国家机构改革方案》</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《中央编办关于生态环境部流域生态环境监管机构设置有关事项的通知》（中编办发〔2019〕26号）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大同市生态环境局天镇分局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大同市生态环境局天镇分局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66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危险废物经营许可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省生态环境厅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《中华人民共和国固体废物污染环境防治法》《危险废物经营许可证管理办法》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大同市生态环境局天镇分局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67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放射性核素排放许可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省生态环境厅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《中华人民共和国放射性污染防治法》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大同市生态环境局天镇分局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大同市生态环境局天镇分局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68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建筑工程施工许可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《中华人民共和国建筑法》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《建筑工程施工许可管理办法》（住房和城乡建设部令第52号）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69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商品房预售许可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《中华人民共和国城市房地产管理法》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tabs>
                <w:tab w:val="left" w:pos="599"/>
              </w:tabs>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70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关闭、闲置、拆除城市环境卫生</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设施许可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《中华人民共和国固体废物污染环境防治法》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71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拆除环境卫生设施许可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《城市市容和环境卫生管理条例》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72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从事城市生活垃圾经营性清扫、</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收集、运输、处理服务审批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《国务院对确需保留的行政审批项目设定行政许可的决定》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73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城市建筑垃圾处置核准</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《国务院对确需保留的行政审批项目设定行政许可的决定》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74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城镇污水排入排水管网许可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《城镇排水与污水处理条例》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75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拆除、改动、迁移城市公共供水</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设施审核</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《城市供水条例》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76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拆除、改动城镇排水与污水处理</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设施审核</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《城镇排水与污水管理条例》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77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由于工程施工、设备维修等原因</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确需停止供水的审批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《城市供水条例》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90"/>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78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燃气经营许可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《城镇燃气管理条例》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79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燃气经营者改动市政燃气设施审批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《城镇燃气管理条例》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《国务院关于第六批取消和调整行政审批项目的决定》（国发〔2012〕52号）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80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市政设施建设类审批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《城市道路管理条例》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81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特殊车辆在城市道路上行驶审批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《城市道路管理条例》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82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改变绿化规划、绿化用地的</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使用性质审批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《国务院对确需保留的行政审批项目设定行政许可的决定》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83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工程建设涉及城市绿地、树木审批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《城市绿化条例》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84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历史建筑实施原址保护审批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《历史文化名城名镇名村保护条例》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85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历史文化街区、名镇、名村核心</w:t>
            </w:r>
          </w:p>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保护范围内拆除历史建筑以外的</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建筑物、构筑物或者其他设施审批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《历史文化名城名镇名村保护条例》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86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历史建筑外部修缮装饰、添加设施</w:t>
            </w:r>
          </w:p>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以及改变历史建筑的结构或者</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使用性质审批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《历史文化名城名镇名村保护条例》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87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建设工程消防设计审查</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《中华人民共和国消防法》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《建设工程消防设计审查验收管理暂行规定》（住房和城乡建设部令第51号）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88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建设工程消防验收</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《中华人民共和国消防法》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《建设工程消防设计审查验收管理暂行规定》（住房和城乡建设部令第51号）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89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在村庄、集镇规划区内公共场所</w:t>
            </w:r>
          </w:p>
          <w:p w:rsidR="005855A0" w:rsidRDefault="005855A0" w:rsidP="005855A0">
            <w:pPr>
              <w:spacing w:line="280" w:lineRule="exact"/>
              <w:jc w:val="center"/>
              <w:textAlignment w:val="center"/>
              <w:rPr>
                <w:rFonts w:ascii="仿宋_GB2312" w:eastAsia="仿宋_GB2312" w:hAnsi="仿宋_GB2312" w:cs="仿宋_GB2312"/>
                <w:spacing w:val="-6"/>
                <w:sz w:val="20"/>
                <w:szCs w:val="20"/>
                <w:lang w:bidi="ar"/>
              </w:rPr>
            </w:pPr>
            <w:r>
              <w:rPr>
                <w:rFonts w:ascii="仿宋_GB2312" w:eastAsia="仿宋_GB2312" w:hAnsi="仿宋_GB2312" w:cs="仿宋_GB2312" w:hint="eastAsia"/>
                <w:color w:val="000000"/>
                <w:sz w:val="20"/>
                <w:szCs w:val="20"/>
                <w:lang w:bidi="ar"/>
              </w:rPr>
              <w:t>修建临时建筑等设施审批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pacing w:val="-6"/>
                <w:sz w:val="20"/>
                <w:szCs w:val="20"/>
                <w:lang w:bidi="ar"/>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《村庄和集镇规划建设管理条例》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各乡（镇）政府</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各乡（镇）政府</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90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pacing w:val="-6"/>
                <w:sz w:val="20"/>
                <w:szCs w:val="20"/>
              </w:rPr>
            </w:pPr>
            <w:r>
              <w:rPr>
                <w:rFonts w:ascii="仿宋_GB2312" w:eastAsia="仿宋_GB2312" w:hAnsi="仿宋_GB2312" w:cs="仿宋_GB2312" w:hint="eastAsia"/>
                <w:color w:val="000000"/>
                <w:spacing w:val="-6"/>
                <w:sz w:val="20"/>
                <w:szCs w:val="20"/>
                <w:lang w:bidi="ar"/>
              </w:rPr>
              <w:t>设置大型户外广告及在城市建筑物、设施上悬挂、张贴宣传品审批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pacing w:val="-6"/>
                <w:sz w:val="20"/>
                <w:szCs w:val="20"/>
              </w:rPr>
            </w:pPr>
            <w:r>
              <w:rPr>
                <w:rFonts w:ascii="仿宋_GB2312" w:eastAsia="仿宋_GB2312" w:hAnsi="仿宋_GB2312" w:cs="仿宋_GB2312" w:hint="eastAsia"/>
                <w:color w:val="000000"/>
                <w:spacing w:val="-6"/>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《城市市容和环境卫生管理条例》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lastRenderedPageBreak/>
              <w:t>91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临时性建筑物搭建、堆放物料、</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占道施工审批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《城市市容和环境卫生管理条例》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92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建筑起重机械使用登记</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省住建厅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《中华人民共和国特种设备安全法》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《建设工程安全生产管理条例》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93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公路建设项目设计文件审批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《中华人民共和国公路法》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《建设工程质量管理条例》</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《建设工程勘察设计管理条例》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《农村公路建设管理办法》（交通运输部令2018年第4号）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94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公路建设项目施工许可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《中华人民共和国公路法》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《公路建设市场管理办法》（交通运输部令2015年第11号）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95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公路建设项目竣工验收</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《中华人民共和国公路法》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《收费公路管理条例》</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《公路工程竣（交）工验收办法》（交通部令2004年第3号）</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《农村公路建设管理办法》（交通运输部令2018年第4号）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96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公路超限运输许可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《中华人民共和国公路法》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《公路安全保护条例》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lastRenderedPageBreak/>
              <w:t>97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涉路施工许可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《中华人民共和国公路法》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《公路安全保护条例》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《路政管理规定》（交通运输部令2016年第81号）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98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更新采伐护路林审批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《中华人民共和国公路法》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《公路安全保护条例》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《路政管理规定》（交通运输部令2016年第81号）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99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道路旅客运输经营许可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《中华人民共和国道路运输条例》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100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道路旅客运输站经营许可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《中华人民共和国道路运输条例》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101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道路货物运输经营许可（除使用4500千克及以下普通货运车辆</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从事普通货运经营外）</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《中华人民共和国道路运输条例》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《道路货物运输及站场管理规定》（交通运输部令2019年第17号）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102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出租汽车经营许可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《国务院对确需保留的行政审批项目设定行政许可的决定》</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《巡游出租汽车经营服务管理规定》（交通运输部令2021年第16号）</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《网络预约出租汽车经营服务管理暂行办法》（交通运输部、工业和信息化部、公安部、商务部、市场监管总局、国家网信办令2019年第46号）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103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出租汽车车辆运营证核发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《国务院对确需保留的行政审批项目设定行政许可的决定》</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《巡游出租汽车经营服务管理规定》（交通运输部令2021年第16号）</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《网络预约出租汽车经营服务管理暂行办法》（交通运输部、工业和信息化部、公安部、商务部、市场监管总局、国家网信办令2019年第46号）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104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水运建设项目设计文件审批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《中华人民共和国港口法》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《中华人民共和国航道法》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《中华人民共和国航道管理条例》</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《建设工程质量管理条例》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《建设工程勘察设计管理条例》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105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通航建筑物运行方案审批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《中华人民共和国航道法》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《通航建筑物运行管理办法》（交通运输部令2019年第6号）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106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航道通航条件影响评价审核</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《中华人民共和国航道法》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《航道通航条件影响评价审核管理办法》（交通运输部令2019年第35号）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107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水运工程建设项目竣工验收</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《中华人民共和国港口法》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《中华人民共和国航道法》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《中华人民共和国航道管理条例》</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《港口工程建设管理规定》（交通运输部令2019年第32号）</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《航道工程建设管理规定》（交通运输部令2019年第44号）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108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内河专用航标设置、撤除、位置</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移动和其他状况改变审批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《中华人民共和国航标条例》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《中华人民共和国航道管理条例》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109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海域或者内河通航水域、岸线</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施工作业许可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《中华人民共和国海上交通安全法》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《中华人民共和国内河交通安全管理条例》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110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船舶国籍登记</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《中华人民共和国海上交通安全法》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《中华人民共和国船舶登记条例》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《交通运输部办公厅关于全面推行直属海事系统权责清单制度的通知》（交办海〔2018〕19号）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111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设置或者撤销内河渡口审批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《中华人民共和国内河交通安全管理条例》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县交通局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lastRenderedPageBreak/>
              <w:t>112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船员适任证书核发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《中华人民共和国海上交通安全法》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《中华人民共和国船员条例》</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《交通运输部办公厅关于全面推行直属海事系统权责清单制度的通知》（交办海〔2018〕19号）</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《国家职业资格目录（2021年版）》</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113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占用国防交通控制范围土地审批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省交通厅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《中华人民共和国国防交通法》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《国防交通条例》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县交通局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县交通局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114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水利基建项目初步设计文件审批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省水利厅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《国务院对确需保留的行政审批项目设定行政许可的决定》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县水务局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115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取水许可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省水利厅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《中华人民共和国水法》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《取水许可和水资源费征收管理条例》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县水务局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116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洪水影响评价类审批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省水利厅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《中华人民共和国水法》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《中华人民共和国防洪法》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《中华人民共和国河道管理条例》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《中华人民共和国水文条例》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县水务局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117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河道管理范围内特定活动审批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省水利厅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《中华人民共和国河道管理条例》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县水务局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118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河道采砂许可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省水利厅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《中华人民共和国水法》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《中华人民共和国长江保护法》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《中华人民共和国河道管理条例》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《长江河道采砂管理条例》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县水务局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119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生产建设项目水土保持方案审批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省水利厅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《中华人民共和国水土保持法》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县水务局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120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农村集体经济组织修建水库审批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省水利厅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《中华人民共和国水法》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县水务局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121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城市建设填堵水域、废除围堤审批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省水利厅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《中华人民共和国防洪法》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县政府（行政审批局承办）</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highlight w:val="yellow"/>
                <w:lang w:bidi="ar"/>
              </w:rPr>
            </w:pPr>
            <w:r>
              <w:rPr>
                <w:rFonts w:ascii="仿宋_GB2312" w:eastAsia="仿宋_GB2312" w:hAnsi="仿宋_GB2312" w:cs="仿宋_GB2312" w:hint="eastAsia"/>
                <w:color w:val="000000"/>
                <w:kern w:val="2"/>
                <w:sz w:val="20"/>
                <w:szCs w:val="20"/>
              </w:rPr>
              <w:t>县水务局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122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占用农业灌溉水源、灌排工程设施审批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省水利厅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《国务院对确需保留的行政审批项目设定行政许可的决定》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县水务局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123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利用堤顶、戗台兼做公路审批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省水利厅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《中华人民共和国河道管理条例》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县水务局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县水务局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124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坝顶兼做公路审批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省水利厅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《水库大坝安全管理条例》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县水务局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县水务局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125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蓄滞洪区避洪设施建设审批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省水利厅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《国务院对确需保留的行政审批项目设定行政许可的决定》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县水务局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126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大坝管理和保护范围内修建码头、渔塘许可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省水利厅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《水库大坝安全管理条例》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县水务局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127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农药经营许可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《农药管理条例》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128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兽药经营许可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《兽药管理条例》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129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农作物种子生产经营许可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《中华人民共和国种子法》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《农业转基因生物安全管理条例》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《转基因棉花种子生产经营许可规定》（农业部公告第2436号）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130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食用菌菌种生产经营许可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《中华人民共和国种子法》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《食用菌菌种管理办法》（农业部令2006年第62号）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131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使用低于国家或地方规定的种用</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标准的农作物种子审批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《中华人民共和国种子法》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县政府（农业农村局承办）</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132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种畜禽生产经营许可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《中华人民共和国畜牧法》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《农业转基因生物安全管理条例》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《养蜂管理办法（试行）》（农业部公告第1692号）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133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蚕种生产经营许可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《中华人民共和国畜牧法》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《蚕种管理办法》（农业部令2006年第68号）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134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农业植物检疫证书核发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《植物检疫条例》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县农业农村局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135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农业植物产地检疫合格证签发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《植物检疫条例》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县农业农村局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136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农业野生植物采集、出售、收购、野外考察审批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《中华人民共和国野生植物保护条例》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采集国家二级保护野生植物的，由县农业农村局受理</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137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动物及动物产品检疫合格证核发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《中华人民共和国动物防疫法》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《动物检疫管理办法》（农业部令2010年第6号）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县农业农村局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138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动物防疫条件合格证核发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《中华人民共和国动物防疫法》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139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动物诊疗许可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《中华人民共和国动物防疫法》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《动物诊疗机构管理办法》（农业部令2008年第19号）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140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生鲜乳收购站许可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《乳品质量安全监督管理条例》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141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生鲜乳准运证明核发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《乳品质量安全监督管理条例》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142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拖拉机和联合收割机驾驶证核发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《中华人民共和国道路交通安全法》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《农业机械安全监督管理条例》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143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拖拉机和联合收割机登记</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《中华人民共和国道路交通安全法》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《农业机械安全监督管理条例》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144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工商企业等社会资本通过流转取得土地经营权审批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《中华人民共和国农村土地承包法》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《农村土地经营权流转管理办法》（农业农村部令2021年第1号）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县政府（农业农村局承办）</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145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农村村民宅基地审批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《中华人民共和国土地管理法》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各乡（镇）政府</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各乡（镇）政府</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146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渔业船舶船员证书核发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《中华人民共和国渔港水域交通安全管理条例》</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《中华人民共和国渔业船员管理办法》（农业部令2014年第4号）</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《国家职业资格目录（2021年版）》</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147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水产苗种生产经营审批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《中华人民共和国渔业法》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《水产苗种管理办法》（农业部令2005年第46号）</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《农业转基因生物安全管理条例》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148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水域滩涂养殖证核发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《中华人民共和国渔业法》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县政府（行政审批局承办）</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kern w:val="2"/>
                <w:sz w:val="20"/>
                <w:szCs w:val="20"/>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149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渔业船网工具指标审批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《中华人民共和国渔业法》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《渔业捕捞许可管理规定》（农业农村部令2018年第1号）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县农业农村局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150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渔业捕捞许可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《中华人民共和国渔业法》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《中华人民共和国渔业法实施细则》</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《渔业捕捞许可管理规定》（农业农村部令2018年第1号）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151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专用航标的设置、撤除、位置移动和其他状况改变审批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《中华人民共和国航标条例》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《渔业航标管理办法》（农业部令2008年第13号）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县农业农村局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152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渔港内新建、改建、扩建设施或者其他水上、水下施工审批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《中华人民共和国渔港水域交通安全管理条例》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县农业农村局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153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渔港内易燃、易爆、有毒等危险品装卸审批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《中华人民共和国渔港水域交通安全管理条例》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县农业农村局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154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渔业船舶国籍登记</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省农业农村厅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《中华人民共和国船舶登记条例》</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《中华人民共和国渔港水域交通安全管理条例》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《中华人民共和国渔业船舶登记办法》（农业部令2012年第8号）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县农业农村局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kern w:val="2"/>
                <w:sz w:val="20"/>
                <w:szCs w:val="20"/>
              </w:rPr>
              <w:t>县农业农村局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155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文艺表演团体设立审批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省文旅厅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《营业性演出管理条例》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156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营业性演出审批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省文旅厅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《营业性演出管理条例》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《营业性演出管理条例实施细则》（文化部令第47号）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157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娱乐场所经营活动审批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省文旅厅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《娱乐场所管理条例》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158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互联网上网服务营业场所筹建审批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省文旅厅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《互联网上网服务营业场所管理条例》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159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互联网上网服务经营活动审批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省文旅厅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《互联网上网服务营业场所管理条例》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160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饮用水供水单位卫生许可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省卫健委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《中华人民共和国传染病防治法》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161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公共场所卫生许可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省卫健委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《公共场所卫生管理条例》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162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医疗机构建设项目放射性职业病</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危害预评价报告审核</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省卫健委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《中华人民共和国职业病防治法》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《放射诊疗管理规定》（卫生部令第46号）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163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医疗机构建设项目放射性职业病</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防护设施竣工验收</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省卫健委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《中华人民共和国职业病防治法》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《放射诊疗管理规定》（卫生部令第46号）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164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医疗机构设置审批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省卫健委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《医疗机构管理条例》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165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医疗机构执业登记</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省卫健委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《医疗机构管理条例》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166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母婴保健技术服务机构执业许可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省卫健委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《中华人民共和国母婴保健法》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《中华人民共和国母婴保健法实施办法》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《母婴保健专项技术服务许可及人员资格管理办法》（国家卫生健康委令第7号）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167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放射源诊疗技术和医用辐射机构</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省卫健委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《放射性同位素与射线装置安全和防护条例》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《放射诊疗管理规定》（卫生部令第46号）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168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单采血浆站设置审批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省卫健委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《血液制品管理条例》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县卫体局初审</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169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医师执业注册</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省卫健委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《中华人民共和国医师法》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《医师执业注册管理办法》（</w:t>
            </w:r>
            <w:bookmarkStart w:id="1" w:name="_GoBack"/>
            <w:r w:rsidR="00644347">
              <w:rPr>
                <w:rFonts w:ascii="仿宋_GB2312" w:eastAsia="仿宋_GB2312" w:hAnsi="仿宋_GB2312" w:cs="仿宋_GB2312" w:hint="eastAsia"/>
                <w:color w:val="000000"/>
                <w:sz w:val="20"/>
                <w:szCs w:val="20"/>
                <w:lang w:bidi="ar"/>
              </w:rPr>
              <w:t>国家卫生健康委员会</w:t>
            </w:r>
            <w:bookmarkEnd w:id="1"/>
            <w:r>
              <w:rPr>
                <w:rFonts w:ascii="仿宋_GB2312" w:eastAsia="仿宋_GB2312" w:hAnsi="仿宋_GB2312" w:cs="仿宋_GB2312" w:hint="eastAsia"/>
                <w:color w:val="000000"/>
                <w:sz w:val="20"/>
                <w:szCs w:val="20"/>
                <w:lang w:bidi="ar"/>
              </w:rPr>
              <w:t>令第13号）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170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乡村医生执业注册</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省卫健委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《乡村医生从业管理条例》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171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母婴保健服务人员资格认定</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省卫健委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《中华人民共和国母婴保健法》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《中华人民共和国母婴保健法实施办法》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《母婴保健专项技术服务许可及人员资格管理办法》（国家卫生健康委令第7号）</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《国家职业资格目录（2021年版）》</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172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护士执业注册</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省卫健委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《护士条例》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《国家职业资格目录（2021年版）》</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173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确有专长的中医医师资格认定</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省卫健委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《中华人民共和国中医药法》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《中医医术确有专长人员医师资格考核注册管理暂行办法》（</w:t>
            </w:r>
            <w:r w:rsidR="00644347">
              <w:rPr>
                <w:rFonts w:ascii="仿宋_GB2312" w:eastAsia="仿宋_GB2312" w:hAnsi="仿宋_GB2312" w:cs="仿宋_GB2312" w:hint="eastAsia"/>
                <w:color w:val="000000"/>
                <w:sz w:val="20"/>
                <w:szCs w:val="20"/>
                <w:lang w:bidi="ar"/>
              </w:rPr>
              <w:t>国家卫生健康委员会</w:t>
            </w:r>
            <w:r>
              <w:rPr>
                <w:rFonts w:ascii="仿宋_GB2312" w:eastAsia="仿宋_GB2312" w:hAnsi="仿宋_GB2312" w:cs="仿宋_GB2312" w:hint="eastAsia"/>
                <w:color w:val="000000"/>
                <w:sz w:val="20"/>
                <w:szCs w:val="20"/>
                <w:lang w:bidi="ar"/>
              </w:rPr>
              <w:t>令第15号）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highlight w:val="yellow"/>
              </w:rPr>
            </w:pPr>
            <w:r>
              <w:rPr>
                <w:rFonts w:ascii="仿宋_GB2312" w:eastAsia="仿宋_GB2312" w:hAnsi="仿宋_GB2312" w:cs="仿宋_GB2312" w:hint="eastAsia"/>
                <w:color w:val="000000"/>
                <w:sz w:val="20"/>
                <w:szCs w:val="20"/>
                <w:lang w:bidi="ar"/>
              </w:rPr>
              <w:t>174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确有专长的中医医师执业注册</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省卫健委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《中华人民共和国中医药法》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《中医医术确有专长人员医师资格考核注册管理暂行办法》（</w:t>
            </w:r>
            <w:r w:rsidR="00644347">
              <w:rPr>
                <w:rFonts w:ascii="仿宋_GB2312" w:eastAsia="仿宋_GB2312" w:hAnsi="仿宋_GB2312" w:cs="仿宋_GB2312" w:hint="eastAsia"/>
                <w:color w:val="000000"/>
                <w:sz w:val="20"/>
                <w:szCs w:val="20"/>
                <w:lang w:bidi="ar"/>
              </w:rPr>
              <w:t>国家卫生健康委员会</w:t>
            </w:r>
            <w:r>
              <w:rPr>
                <w:rFonts w:ascii="仿宋_GB2312" w:eastAsia="仿宋_GB2312" w:hAnsi="仿宋_GB2312" w:cs="仿宋_GB2312" w:hint="eastAsia"/>
                <w:color w:val="000000"/>
                <w:sz w:val="20"/>
                <w:szCs w:val="20"/>
                <w:lang w:bidi="ar"/>
              </w:rPr>
              <w:t>令第15号）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highlight w:val="red"/>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highlight w:val="yellow"/>
              </w:rPr>
            </w:pPr>
            <w:r>
              <w:rPr>
                <w:rFonts w:ascii="仿宋_GB2312" w:eastAsia="仿宋_GB2312" w:hAnsi="仿宋_GB2312" w:cs="仿宋_GB2312" w:hint="eastAsia"/>
                <w:color w:val="000000"/>
                <w:sz w:val="20"/>
                <w:szCs w:val="20"/>
                <w:lang w:bidi="ar"/>
              </w:rPr>
              <w:t>175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中医医疗机构设置审批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省卫健委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《中华人民共和国中医药法》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《医疗机构管理条例》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highlight w:val="red"/>
                <w:lang w:bidi="ar"/>
              </w:rPr>
            </w:pPr>
            <w:r>
              <w:rPr>
                <w:rFonts w:ascii="仿宋_GB2312" w:eastAsia="仿宋_GB2312" w:hAnsi="仿宋_GB2312" w:cs="仿宋_GB2312" w:hint="eastAsia"/>
                <w:color w:val="000000"/>
                <w:sz w:val="20"/>
                <w:szCs w:val="20"/>
                <w:lang w:bidi="ar"/>
              </w:rPr>
              <w:t>县卫体局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highlight w:val="yellow"/>
              </w:rPr>
            </w:pPr>
            <w:r>
              <w:rPr>
                <w:rFonts w:ascii="仿宋_GB2312" w:eastAsia="仿宋_GB2312" w:hAnsi="仿宋_GB2312" w:cs="仿宋_GB2312" w:hint="eastAsia"/>
                <w:color w:val="000000"/>
                <w:sz w:val="20"/>
                <w:szCs w:val="20"/>
                <w:lang w:bidi="ar"/>
              </w:rPr>
              <w:t>176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中医医疗机构执业登记</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省卫健委</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《中华人民共和国中医药法》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《医疗机构管理条例》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highlight w:val="red"/>
                <w:lang w:bidi="ar"/>
              </w:rPr>
            </w:pPr>
            <w:r>
              <w:rPr>
                <w:rFonts w:ascii="仿宋_GB2312" w:eastAsia="仿宋_GB2312" w:hAnsi="仿宋_GB2312" w:cs="仿宋_GB2312" w:hint="eastAsia"/>
                <w:color w:val="000000"/>
                <w:sz w:val="20"/>
                <w:szCs w:val="20"/>
                <w:lang w:bidi="ar"/>
              </w:rPr>
              <w:t>县卫体局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177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石油天然气建设项目安全设施设计审查</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省应急厅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《中华人民共和国安全生产法》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《建设项目安全设施“三同时监督管理办法》（国家安全生产监督管理总局令第36号，国家安全生产监督管理总局令第77号修正）</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《国家安全监管总局办公厅关于明确非煤矿山建设项目安全监管职责等事项的通知》（安监总厅管一〔2013〕143号）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县应急局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县应急局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178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金属冶炼建设项目安全设施设计</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审查</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省应急厅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《中华人民共和国安全生产法》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《建设项目安全设施“三同时监督管理办法》（国家安全生产监督管理总局令第36号，国家安全生产监督管理总局令第77号修正）</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《冶金企业和有色金属企业安全生产规定》（国家安全生产监督管理总局令第91号）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县应急局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县应急局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179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危险化学品经营许可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省应急厅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《危险化学品安全管理条例》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《危险化学品经营许可证管理办法》（国家安全生产监督管理总局令第55号，国家安全生产监督管理总局令第79号修正）</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县应急局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县应急局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180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矿山建设项目安全设施设计审查</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省应急厅</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《中华人民共和国安全生产法》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《煤矿安全监察条例》</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《煤矿建设项目安全设施监察规定》（国家安全生产监督管理总局令第6号）</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《建设项目安全设施“三同时监督管理办法》（国家安全生产监督管理总局令第36号，国家安全生产监督管理总局令第77号修正）</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《国家安全监管总局办公厅关于切实做好国家取消和下放投资审批有关建设项目安全监管工作的通知》（安监总厅政法〔2013〕120号）</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《国家安全监管总局办公厅关于明确非煤矿山建设项目安全监管职责等事项的通知》（安监总厅管一〔2013〕143号）</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《中华人民共和国应急管理部公告》（2021年第1号）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县应急局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县应急局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181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公众聚集场所投入使用、营业前</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消防安全检查</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省消防救援总队</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《中华人民共和国消防法》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县消防救援队</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县消防救援队</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182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食品生产许可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省市场监管局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《中华人民共和国食品安全法》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《食品生产许可管理办法》（国家市场监督管理总局令第24号）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县市监局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183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食品添加剂生产许可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省市场监管局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《中华人民共和国食品安全法》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《食品生产许可管理办法》（国家市场监督管理总局令第24号）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县市监局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184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食品经营许可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省市场监管局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《中华人民共和国食品安全法》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县市监局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185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特种设备安全管理和作业人员资格认定</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省市场监管局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《中华人民共和国特种设备安全法》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《特种设备安全监察条例》</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《特种设备作业人员监督管理办法》（国家质量监督检验检疫总局令第140号）</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《国家职业资格目录（2021年版）》</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县市监局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186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计量标准器具核准</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省市场监管局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《中华人民共和国计量法》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《中华人民共和国计量法实施细则》</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县市监局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187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承担国家法定计量检定机构任务</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授权</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省市场监管局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《中华人民共和国计量法》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《中华人民共和国计量法实施细则》</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县市监局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188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企业登记注册</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省市场监管局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《中华人民共和国公司法》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《中华人民共和国合伙企业法》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《中华人民共和国个人独资企业法》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《中华人民共和国外商投资法》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《中华人民共和国外商投资法实施条例》</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《中华人民共和国公司登记管理条例》</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《中华人民共和国企业法人登记管理条例》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《中华人民共和国合伙企业登记管理办法》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县市监局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189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个体工商户登记注册</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省市场监管局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《个体工商户条例》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县市监局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190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农民专业合作社登记注册</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省市场监管局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《中华人民共和国农民专业合作社法》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《农民专业合作社登记管理条例》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县市监局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191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乡镇设立广播电视站和机关、部队、团体、企业事业单位设立有线广播电视站审批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省广电局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《广播电视管理条例》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《广播电视站审批管理暂行规定》（国家广播电影电视总局令第32号）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县文旅局初审</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192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有线广播电视传输覆盖网工程验收审核</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省广电局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《广播电视管理条例》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193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卫星电视广播地面接收设施安装</w:t>
            </w:r>
          </w:p>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服务许可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省广电局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《卫星电视广播地面接收设施管理规定》</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《卫星电视广播地面接收设施安装服务暂行办法》（国家广播电影电视总局令第60号）</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《广电总局关于设立卫星地面接收设施安装服务机构审批事项的通知》（广发〔2010〕24号）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县文旅局初审</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194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设置卫星电视广播地面接收设施</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省广电局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《广播电视管理条例》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《卫星电视广播地面接收设施管理规定》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县文旅局初审</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195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举办健身气功活动及设立站点审批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省体育局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《国务院对确需保留的行政审批项目设定行政许可的决定》</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《健身气功管理办法》（体育总局令2006年第9号）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196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高危险性体育项目经营许可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省体育局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《全民健身条例》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197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临时占用公共体育设施审批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省体育局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《中华人民共和国体育法》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县卫体局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198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固定资产投资项目节能审查</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省能源局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《中华人民共和国节约能源法》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《固定资产投资项目节能审查办法》（国家发展改革委令2016年第44号)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县能源局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199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在电力设施周围或者电力设施</w:t>
            </w:r>
          </w:p>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保护区内进行可能危及电力设施</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安全作业审批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省能源局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《中华人民共和国电力法》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《电力设施保护条例》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县能源局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200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固定资产投资项目核准</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省能源局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《企业投资项目核准和备案管理条例》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《国务院关于发布政府核准的投资项目目录（2016年本）的通知》（国发〔2016〕72号）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县政府（行政审批局承办）</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县能源局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highlight w:val="yellow"/>
              </w:rPr>
            </w:pPr>
            <w:r>
              <w:rPr>
                <w:rFonts w:ascii="仿宋_GB2312" w:eastAsia="仿宋_GB2312" w:hAnsi="仿宋_GB2312" w:cs="仿宋_GB2312" w:hint="eastAsia"/>
                <w:color w:val="000000"/>
                <w:sz w:val="20"/>
                <w:szCs w:val="20"/>
              </w:rPr>
              <w:t>201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新建不能满足管道保护要求的石油天然气管道防护方案审批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省能源局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《中华人民共和国石油天然气管道保护法》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县能源局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县能源局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highlight w:val="yellow"/>
              </w:rPr>
            </w:pPr>
            <w:r>
              <w:rPr>
                <w:rFonts w:ascii="仿宋_GB2312" w:eastAsia="仿宋_GB2312" w:hAnsi="仿宋_GB2312" w:cs="仿宋_GB2312" w:hint="eastAsia"/>
                <w:color w:val="000000"/>
                <w:sz w:val="20"/>
                <w:szCs w:val="20"/>
              </w:rPr>
              <w:t>202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可能影响石油天然气管道保护的</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施工作业审批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省能源局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《中华人民共和国石油天然气管道保护法》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县能源局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县能源局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203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建设工程文物保护许可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省文物局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《中华人民共和国文物保护法》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县政府（行政审批局承办）</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204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文物保护单位原址保护措施审批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省文物局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《中华人民共和国文物保护法》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205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核定为文物保护单位的属于国家</w:t>
            </w:r>
          </w:p>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所有的纪念建筑物或者古建筑</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改变用途审批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省文物局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《中华人民共和国文物保护法》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县政府（文旅局承办）</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206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不可移动文物修缮审批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省文物局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《中华人民共和国文物保护法》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207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非国有文物收藏单位和其他单位</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借用国有馆藏文物审批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省文物局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《中华人民共和国文物保护法》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208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博物馆处理不够入藏标准、无保存价值的文物或标本审批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省文物局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《国务院对确需保留的行政审批项目设定行政许可的决定》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县文旅局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209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应建防空地下室的民用建筑项目</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报建审批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省人防办</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《中共中央国务院中央军委关于加强人民防空工作的决定》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210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拆除人民防空工程审批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省人防办</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《中华人民共和国人民防空法》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县住建局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211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林草种子生产经营许可证核发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省林草局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《中华人民共和国种子法》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212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林草植物检疫证书核发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省林草局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《植物检疫条例》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highlight w:val="red"/>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213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建设项目使用林地及在森林和野生动物类型国家级自然保护区建设</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省林草局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《中华人民共和国森林法》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《中华人民共和国森林法实施条例》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《森林和野生动物类型自然保护区管理办法》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214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建设项目使用草原审批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省林草局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《中华人民共和国草原法》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215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林木采伐许可证核发</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省林草局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《中华人民共和国森林法》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《中华人民共和国森林法实施条例》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216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从事营利性治沙活动许可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省林草局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《中华人民共和国防沙治沙法》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217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猎捕陆生野生动物审批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省林草局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《中华人民共和国野生动物保护法》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《中华人民共和国陆生野生动物保护实施条例》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218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森林草原防火期内在森林草原</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防火区野外用火审批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省林草局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《森林防火条例》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《草原防火条例》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县政府（林业局承办）</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219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森林草原防火期内在森林草原</w:t>
            </w:r>
          </w:p>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防火区爆破、勘察和施工等活动</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省林草局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《森林防火条例》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《草原防火条例》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220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进入森林高火险区、草原防火</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管制区审批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省林草局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《森林防火条例》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《草原防火条例》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县政府（林业局承办）</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221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工商企业等社会资本通过流转取得林地经营权审批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省林草局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《中华人民共和国农村土地承包法》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县政府（林业局承办）</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222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在风景名胜区内从事建设、设置广告、举办大型游乐活动以及其他影响生态和景观活动许可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省林草局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《风景名胜区条例》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223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进入自然保护区从事有关活动审批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省林草局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《中华人民共和国自然保护区条例》</w:t>
            </w:r>
          </w:p>
          <w:p w:rsidR="005855A0" w:rsidRDefault="005855A0" w:rsidP="005855A0">
            <w:pPr>
              <w:spacing w:line="280" w:lineRule="exact"/>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《森林和野生动物类型自然保护区管理办法》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县林业局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224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药品零售企业筹建审批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省药监局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《中华人民共和国药品管理法》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《中华人民共和国药品管理法实施条例》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县市监局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225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药品零售企业经营许可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省药监局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《中华人民共和国药品管理法》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《中华人民共和国药品管理法实施条例》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县市监局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226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科研和教学用毒性药品购买审批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省药监局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《医疗用毒性药品管理办法》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县市监局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县市监局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227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延期移交档案审批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省档案局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《中华人民共和国档案法实施办法》</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县档案馆</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县档案馆</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228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事业单位登记</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省委编办</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《事业单位登记管理暂行条例》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《事业单位登记管理暂行条例实施细则》（中央编办发〔2014〕4号）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县委编办</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县委编办</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229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电影放映单位设立审批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省电影局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《中华人民共和国电影产业促进法》</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《电影管理条例》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《外商投资电影院暂行规定》（国家广播电影电视总局、商务部、文化部令第21号）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县委宣传部</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230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出版物零售业务经营许可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省新闻出版局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《出版管理条例》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县委宣传部</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231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宗教活动场所筹备设立审批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省宗教局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《宗教事务条例》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县统战部初审</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县统战部</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232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宗教活动场所设立、变更、注销</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登记</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省宗教局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《宗教事务条例》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县统战部</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县统战部</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233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宗教活动场所内改建或者新建</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建筑物许可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省宗教局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《宗教事务条例》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《宗教事务部分行政许可项目实施办法》（国宗发〔2018〕11号）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县统战部初审</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县统战部</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lastRenderedPageBreak/>
              <w:t>234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宗教临时活动地点审批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省宗教局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《宗教事务条例》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县统战部</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县统战部</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235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宗教团体、宗教院校、宗教活动</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场所接受境外捐赠审批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省宗教局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《宗教事务条例》</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《宗教事务部分行政许可项目实施办法》（国宗发〔2018〕11号）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县统战部</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县统战部</w:t>
            </w:r>
          </w:p>
        </w:tc>
      </w:tr>
      <w:tr w:rsidR="005855A0" w:rsidTr="005855A0">
        <w:trPr>
          <w:cantSplit/>
          <w:trHeight w:val="1125"/>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236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华侨回国定居审批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省侨办</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《中华人民共和国出境入境管理法》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《国务院侨办、公安部、外交部关于印发〈华侨回国定居办理工作规定〉的通知》（国侨发〔2013〕18号）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县侨联初审</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县侨联</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237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增值税防伪税控系统最高开票限额审批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省税务局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《国务院对确需保留的行政审批项目设定行政许可的决定》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县税务局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县税务局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238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雷电防护装置设计审核</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省气象局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《气象灾害防御条例》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县气象局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239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雷电防护装置竣工验收</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省气象局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《气象灾害防御条例》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县气象局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240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升放无人驾驶自由气球或者系留</w:t>
            </w:r>
          </w:p>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气球活动审批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省气象局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《通用航空飞行管制条例》《国务院关于第六批取消和调整行政审批项目的决定》（国发〔2012〕52号）</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县行政审批局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县气象局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241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银行账户开户许可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人行太原中心支行</w:t>
            </w:r>
          </w:p>
        </w:tc>
        <w:tc>
          <w:tcPr>
            <w:tcW w:w="5587"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《国务院对确需保留的行政审批项目设定行政许可的决定》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县人行</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县人行</w:t>
            </w:r>
          </w:p>
        </w:tc>
      </w:tr>
      <w:tr w:rsidR="005855A0" w:rsidTr="005855A0">
        <w:trPr>
          <w:cantSplit/>
          <w:trHeight w:val="90"/>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242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国库集中收付代理银行资格认定</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人行太原中心支行</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《国务院对确需保留的行政审批项目设定行政许可的决定》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县人行</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243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烟草专卖零售许可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山西烟草专卖局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《中华人民共和国烟草专卖法》</w:t>
            </w:r>
          </w:p>
          <w:p w:rsidR="005855A0" w:rsidRDefault="005855A0" w:rsidP="005855A0">
            <w:pPr>
              <w:spacing w:line="28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lang w:bidi="ar"/>
              </w:rPr>
              <w:t>《中华人民共和国烟草专卖法实施条例》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县烟草局</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县烟草局</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lastRenderedPageBreak/>
              <w:t>244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经常项目收支企业核准</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国家外汇局山西省分局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《国务院对确需保留的行政审批项目设定行政许可的决定》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245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经常项目特定收支业务核准</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国家外汇局山西省分局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《国务院对确需保留的行政审批项目设定行政许可的决定》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246</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经常项目外汇存放境外核准</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国家外汇局山西省分局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《国务院对确需保留的行政审批项目设定行政许可的决定》</w:t>
            </w:r>
          </w:p>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《中华人民共和国外汇管理条例》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247</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境外直接投资项下外汇登记核准</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国家外汇局山西省分局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《国务院对确需保留的行政审批项目设定行政许可的决定》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248</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境内直接投资项下外汇登记核准</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国家外汇局山西省分局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《中华人民共和国外汇管理条例》</w:t>
            </w:r>
          </w:p>
          <w:p w:rsidR="005855A0" w:rsidRDefault="005855A0" w:rsidP="005855A0">
            <w:pPr>
              <w:spacing w:line="280" w:lineRule="exact"/>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《国务院对确需保留的行政审批项目设定行政许可的决定》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249</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外币现钞提取、出境携带、跨境调运核准</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国家外汇局山西省分局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《中华人民共和国外汇管理条例》</w:t>
            </w:r>
          </w:p>
          <w:p w:rsidR="005855A0" w:rsidRDefault="005855A0" w:rsidP="005855A0">
            <w:pPr>
              <w:spacing w:line="280" w:lineRule="exact"/>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《国务院对确需保留的行政审批项目设定行政许可的决定》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250</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跨境证券、衍生产品外汇业务核准</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国家外汇局山西省分局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《中华人民共和国外汇管理条例》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251</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境内机构外债、跨境担保核准</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国家外汇局山西省分局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《中华人民共和国外汇管理条例》</w:t>
            </w:r>
          </w:p>
          <w:p w:rsidR="005855A0" w:rsidRDefault="005855A0" w:rsidP="005855A0">
            <w:pPr>
              <w:spacing w:line="280" w:lineRule="exact"/>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《国务院对确需保留的行政审批项目设定行政许可的决定》</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lastRenderedPageBreak/>
              <w:t>252</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境内机构（不含银行业金融机构）对外债权核准</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国家外汇局山西省分局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《中华人民共和国外汇管理条例》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253</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资本项目外汇资金结汇核准</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国家外汇局山西省分局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《中华人民共和国外汇管理条例》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254</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资本项目外汇资金购付汇核准</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国家外汇局山西省分局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《中华人民共和国外汇管理条例》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r>
      <w:tr w:rsidR="005855A0" w:rsidTr="005855A0">
        <w:trPr>
          <w:cantSplit/>
          <w:trHeight w:val="454"/>
          <w:jc w:val="center"/>
        </w:trPr>
        <w:tc>
          <w:tcPr>
            <w:tcW w:w="64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255</w:t>
            </w:r>
          </w:p>
        </w:tc>
        <w:tc>
          <w:tcPr>
            <w:tcW w:w="327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经营或者终止结售汇业务审批</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国家外汇局山西省分局</w:t>
            </w:r>
          </w:p>
        </w:tc>
        <w:tc>
          <w:tcPr>
            <w:tcW w:w="5587" w:type="dxa"/>
            <w:shd w:val="clear" w:color="auto" w:fill="auto"/>
            <w:vAlign w:val="center"/>
          </w:tcPr>
          <w:p w:rsidR="005855A0" w:rsidRDefault="005855A0" w:rsidP="005855A0">
            <w:pPr>
              <w:spacing w:line="280" w:lineRule="exact"/>
              <w:textAlignment w:val="center"/>
              <w:rPr>
                <w:rFonts w:ascii="仿宋_GB2312" w:eastAsia="仿宋_GB2312" w:hAnsi="仿宋_GB2312" w:cs="仿宋_GB2312"/>
                <w:kern w:val="2"/>
                <w:sz w:val="20"/>
                <w:szCs w:val="20"/>
              </w:rPr>
            </w:pPr>
            <w:r>
              <w:rPr>
                <w:rFonts w:ascii="仿宋_GB2312" w:eastAsia="仿宋_GB2312" w:hAnsi="仿宋_GB2312" w:cs="仿宋_GB2312" w:hint="eastAsia"/>
                <w:color w:val="000000"/>
                <w:sz w:val="20"/>
                <w:szCs w:val="20"/>
                <w:lang w:bidi="ar"/>
              </w:rPr>
              <w:t>《中华人民共和国外汇管理条例》</w:t>
            </w:r>
          </w:p>
        </w:tc>
        <w:tc>
          <w:tcPr>
            <w:tcW w:w="175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c>
          <w:tcPr>
            <w:tcW w:w="1130"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rPr>
              <w:t>县人行</w:t>
            </w:r>
          </w:p>
        </w:tc>
      </w:tr>
      <w:bookmarkEnd w:id="0"/>
    </w:tbl>
    <w:p w:rsidR="005855A0" w:rsidRDefault="005855A0" w:rsidP="005855A0">
      <w:pPr>
        <w:pStyle w:val="TOC3"/>
        <w:ind w:leftChars="0" w:left="0" w:firstLineChars="200" w:firstLine="640"/>
        <w:rPr>
          <w:rFonts w:ascii="黑体" w:eastAsia="黑体" w:hAnsi="黑体" w:cs="黑体"/>
          <w:color w:val="auto"/>
          <w:sz w:val="32"/>
          <w:szCs w:val="32"/>
          <w:lang w:eastAsia="zh-CN" w:bidi="ar"/>
        </w:rPr>
      </w:pPr>
    </w:p>
    <w:p w:rsidR="005855A0" w:rsidRDefault="005855A0" w:rsidP="005855A0">
      <w:pPr>
        <w:tabs>
          <w:tab w:val="left" w:pos="3104"/>
        </w:tabs>
        <w:sectPr w:rsidR="005855A0">
          <w:footerReference w:type="default" r:id="rId7"/>
          <w:pgSz w:w="16838" w:h="11906" w:orient="landscape"/>
          <w:pgMar w:top="720" w:right="720" w:bottom="720" w:left="720" w:header="851" w:footer="992" w:gutter="0"/>
          <w:pgNumType w:start="1"/>
          <w:cols w:space="425"/>
          <w:docGrid w:type="lines" w:linePitch="312"/>
        </w:sectPr>
      </w:pPr>
    </w:p>
    <w:p w:rsidR="005855A0" w:rsidRDefault="005855A0" w:rsidP="005855A0">
      <w:pPr>
        <w:pStyle w:val="TOC3"/>
        <w:ind w:leftChars="0" w:left="0" w:firstLineChars="200" w:firstLine="640"/>
        <w:rPr>
          <w:lang w:eastAsia="zh-CN"/>
        </w:rPr>
      </w:pPr>
      <w:r>
        <w:rPr>
          <w:rFonts w:ascii="黑体" w:eastAsia="黑体" w:hAnsi="黑体" w:cs="黑体" w:hint="eastAsia"/>
          <w:color w:val="auto"/>
          <w:sz w:val="32"/>
          <w:szCs w:val="32"/>
          <w:lang w:eastAsia="zh-CN" w:bidi="ar"/>
        </w:rPr>
        <w:lastRenderedPageBreak/>
        <w:t>二、根据地方性法规设定的行政许可事项2项</w:t>
      </w:r>
    </w:p>
    <w:tbl>
      <w:tblPr>
        <w:tblW w:w="1406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18"/>
        <w:gridCol w:w="1125"/>
        <w:gridCol w:w="6201"/>
        <w:gridCol w:w="1425"/>
        <w:gridCol w:w="1425"/>
      </w:tblGrid>
      <w:tr w:rsidR="005855A0" w:rsidTr="005855A0">
        <w:trPr>
          <w:cantSplit/>
          <w:trHeight w:val="539"/>
          <w:tblHeader/>
        </w:trPr>
        <w:tc>
          <w:tcPr>
            <w:tcW w:w="675" w:type="dxa"/>
            <w:tcBorders>
              <w:top w:val="single" w:sz="4" w:space="0" w:color="auto"/>
            </w:tcBorders>
            <w:shd w:val="clear" w:color="auto" w:fill="auto"/>
            <w:vAlign w:val="center"/>
          </w:tcPr>
          <w:p w:rsidR="005855A0" w:rsidRDefault="005855A0" w:rsidP="005855A0">
            <w:pPr>
              <w:spacing w:line="280" w:lineRule="exact"/>
              <w:jc w:val="center"/>
              <w:textAlignment w:val="center"/>
              <w:rPr>
                <w:rFonts w:ascii="黑体" w:eastAsia="黑体" w:hAnsi="黑体" w:cs="黑体"/>
                <w:sz w:val="20"/>
                <w:szCs w:val="20"/>
              </w:rPr>
            </w:pPr>
            <w:r>
              <w:rPr>
                <w:rFonts w:ascii="黑体" w:eastAsia="黑体" w:hAnsi="黑体" w:cs="黑体" w:hint="eastAsia"/>
                <w:color w:val="000000"/>
                <w:sz w:val="20"/>
                <w:szCs w:val="20"/>
                <w:lang w:bidi="ar"/>
              </w:rPr>
              <w:t>序号</w:t>
            </w:r>
          </w:p>
        </w:tc>
        <w:tc>
          <w:tcPr>
            <w:tcW w:w="3218" w:type="dxa"/>
            <w:tcBorders>
              <w:top w:val="single" w:sz="4" w:space="0" w:color="auto"/>
            </w:tcBorders>
            <w:shd w:val="clear" w:color="auto" w:fill="auto"/>
            <w:vAlign w:val="center"/>
          </w:tcPr>
          <w:p w:rsidR="005855A0" w:rsidRDefault="005855A0" w:rsidP="005855A0">
            <w:pPr>
              <w:spacing w:line="280" w:lineRule="exact"/>
              <w:jc w:val="center"/>
              <w:textAlignment w:val="center"/>
              <w:rPr>
                <w:rFonts w:ascii="黑体" w:eastAsia="黑体" w:hAnsi="黑体" w:cs="黑体"/>
                <w:sz w:val="20"/>
                <w:szCs w:val="20"/>
              </w:rPr>
            </w:pPr>
            <w:r>
              <w:rPr>
                <w:rFonts w:ascii="黑体" w:eastAsia="黑体" w:hAnsi="黑体" w:cs="黑体" w:hint="eastAsia"/>
                <w:color w:val="000000"/>
                <w:sz w:val="20"/>
                <w:szCs w:val="20"/>
                <w:lang w:bidi="ar"/>
              </w:rPr>
              <w:t>许可事项名称</w:t>
            </w:r>
          </w:p>
        </w:tc>
        <w:tc>
          <w:tcPr>
            <w:tcW w:w="1125" w:type="dxa"/>
            <w:tcBorders>
              <w:top w:val="single" w:sz="4" w:space="0" w:color="auto"/>
            </w:tcBorders>
            <w:shd w:val="clear" w:color="auto" w:fill="auto"/>
            <w:vAlign w:val="center"/>
          </w:tcPr>
          <w:p w:rsidR="005855A0" w:rsidRDefault="005855A0" w:rsidP="005855A0">
            <w:pPr>
              <w:spacing w:line="280" w:lineRule="exact"/>
              <w:jc w:val="center"/>
              <w:textAlignment w:val="center"/>
              <w:rPr>
                <w:rFonts w:ascii="黑体" w:eastAsia="黑体" w:hAnsi="黑体" w:cs="黑体"/>
                <w:sz w:val="20"/>
                <w:szCs w:val="20"/>
              </w:rPr>
            </w:pPr>
            <w:r>
              <w:rPr>
                <w:rFonts w:ascii="黑体" w:eastAsia="黑体" w:hAnsi="黑体" w:cs="黑体" w:hint="eastAsia"/>
                <w:color w:val="000000"/>
                <w:sz w:val="20"/>
                <w:szCs w:val="20"/>
                <w:lang w:bidi="ar"/>
              </w:rPr>
              <w:t>省级业务指导部门</w:t>
            </w:r>
          </w:p>
        </w:tc>
        <w:tc>
          <w:tcPr>
            <w:tcW w:w="6201" w:type="dxa"/>
            <w:tcBorders>
              <w:top w:val="single" w:sz="4" w:space="0" w:color="auto"/>
            </w:tcBorders>
            <w:shd w:val="clear" w:color="auto" w:fill="auto"/>
            <w:vAlign w:val="center"/>
          </w:tcPr>
          <w:p w:rsidR="005855A0" w:rsidRDefault="005855A0" w:rsidP="005855A0">
            <w:pPr>
              <w:spacing w:line="280" w:lineRule="exact"/>
              <w:jc w:val="center"/>
              <w:textAlignment w:val="center"/>
              <w:rPr>
                <w:rFonts w:ascii="黑体" w:eastAsia="黑体" w:hAnsi="黑体" w:cs="黑体"/>
                <w:sz w:val="20"/>
                <w:szCs w:val="20"/>
              </w:rPr>
            </w:pPr>
            <w:r>
              <w:rPr>
                <w:rFonts w:ascii="黑体" w:eastAsia="黑体" w:hAnsi="黑体" w:cs="黑体" w:hint="eastAsia"/>
                <w:color w:val="000000"/>
                <w:sz w:val="20"/>
                <w:szCs w:val="20"/>
                <w:lang w:bidi="ar"/>
              </w:rPr>
              <w:t>设定和实施依据</w:t>
            </w:r>
          </w:p>
        </w:tc>
        <w:tc>
          <w:tcPr>
            <w:tcW w:w="1425" w:type="dxa"/>
            <w:tcBorders>
              <w:top w:val="single" w:sz="4" w:space="0" w:color="auto"/>
            </w:tcBorders>
            <w:shd w:val="clear" w:color="auto" w:fill="auto"/>
            <w:vAlign w:val="center"/>
          </w:tcPr>
          <w:p w:rsidR="005855A0" w:rsidRDefault="005855A0" w:rsidP="005855A0">
            <w:pPr>
              <w:spacing w:line="280" w:lineRule="exact"/>
              <w:jc w:val="center"/>
              <w:textAlignment w:val="center"/>
              <w:rPr>
                <w:rFonts w:ascii="黑体" w:eastAsia="黑体" w:hAnsi="黑体" w:cs="黑体"/>
                <w:sz w:val="20"/>
                <w:szCs w:val="20"/>
                <w:lang w:bidi="ar"/>
              </w:rPr>
            </w:pPr>
            <w:r>
              <w:rPr>
                <w:rFonts w:ascii="黑体" w:eastAsia="黑体" w:hAnsi="黑体" w:cs="黑体" w:hint="eastAsia"/>
                <w:sz w:val="20"/>
                <w:szCs w:val="20"/>
                <w:lang w:bidi="ar"/>
              </w:rPr>
              <w:t>实施部门</w:t>
            </w:r>
          </w:p>
        </w:tc>
        <w:tc>
          <w:tcPr>
            <w:tcW w:w="1425" w:type="dxa"/>
            <w:tcBorders>
              <w:top w:val="single" w:sz="4" w:space="0" w:color="auto"/>
            </w:tcBorders>
            <w:shd w:val="clear" w:color="auto" w:fill="auto"/>
            <w:vAlign w:val="center"/>
          </w:tcPr>
          <w:p w:rsidR="005855A0" w:rsidRDefault="005855A0" w:rsidP="005855A0">
            <w:pPr>
              <w:spacing w:line="280" w:lineRule="exact"/>
              <w:jc w:val="center"/>
              <w:textAlignment w:val="center"/>
              <w:rPr>
                <w:rFonts w:ascii="黑体" w:eastAsia="黑体" w:hAnsi="黑体" w:cs="黑体"/>
                <w:sz w:val="20"/>
                <w:szCs w:val="20"/>
                <w:lang w:bidi="ar"/>
              </w:rPr>
            </w:pPr>
            <w:r>
              <w:rPr>
                <w:rFonts w:ascii="黑体" w:eastAsia="黑体" w:hAnsi="黑体" w:cs="黑体" w:hint="eastAsia"/>
                <w:sz w:val="20"/>
                <w:szCs w:val="20"/>
                <w:lang w:bidi="ar"/>
              </w:rPr>
              <w:t>监管部门</w:t>
            </w:r>
          </w:p>
        </w:tc>
      </w:tr>
      <w:tr w:rsidR="005855A0" w:rsidTr="005855A0">
        <w:trPr>
          <w:cantSplit/>
          <w:trHeight w:val="500"/>
        </w:trPr>
        <w:tc>
          <w:tcPr>
            <w:tcW w:w="67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宋体" w:cs="仿宋_GB2312" w:hint="eastAsia"/>
                <w:sz w:val="20"/>
                <w:szCs w:val="20"/>
              </w:rPr>
              <w:t>1</w:t>
            </w:r>
          </w:p>
        </w:tc>
        <w:tc>
          <w:tcPr>
            <w:tcW w:w="321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宋体" w:cs="仿宋_GB2312" w:hint="eastAsia"/>
                <w:sz w:val="20"/>
                <w:szCs w:val="20"/>
                <w:lang w:bidi="ar"/>
              </w:rPr>
              <w:t>城市公共汽（电）车经营许可</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宋体" w:cs="仿宋_GB2312" w:hint="eastAsia"/>
                <w:sz w:val="20"/>
                <w:szCs w:val="20"/>
                <w:lang w:bidi="ar"/>
              </w:rPr>
              <w:t>省交通厅</w:t>
            </w:r>
          </w:p>
        </w:tc>
        <w:tc>
          <w:tcPr>
            <w:tcW w:w="6201" w:type="dxa"/>
            <w:shd w:val="clear" w:color="auto" w:fill="auto"/>
            <w:vAlign w:val="center"/>
          </w:tcPr>
          <w:p w:rsidR="005855A0" w:rsidRDefault="005855A0" w:rsidP="005855A0">
            <w:pPr>
              <w:spacing w:line="260" w:lineRule="exact"/>
              <w:textAlignment w:val="center"/>
              <w:rPr>
                <w:rFonts w:ascii="仿宋_GB2312" w:eastAsia="仿宋_GB2312" w:hAnsi="仿宋_GB2312" w:cs="仿宋_GB2312"/>
                <w:sz w:val="20"/>
                <w:szCs w:val="20"/>
                <w:lang w:bidi="ar"/>
              </w:rPr>
            </w:pPr>
            <w:r>
              <w:rPr>
                <w:rFonts w:ascii="仿宋_GB2312" w:eastAsia="仿宋_GB2312" w:hAnsi="宋体" w:cs="仿宋_GB2312" w:hint="eastAsia"/>
                <w:spacing w:val="-6"/>
                <w:sz w:val="20"/>
                <w:szCs w:val="20"/>
                <w:lang w:bidi="ar"/>
              </w:rPr>
              <w:t xml:space="preserve">《山西省城市公共客运条例》 （2015年5月28日山西省第十二届人民代表大会常务委员会第二十次会议通过，自2015年10月1日起施行）第十四条 </w:t>
            </w:r>
          </w:p>
        </w:tc>
        <w:tc>
          <w:tcPr>
            <w:tcW w:w="1425" w:type="dxa"/>
            <w:shd w:val="clear" w:color="auto" w:fill="auto"/>
            <w:vAlign w:val="center"/>
          </w:tcPr>
          <w:p w:rsidR="005855A0" w:rsidRDefault="005855A0" w:rsidP="005855A0">
            <w:pPr>
              <w:spacing w:line="260" w:lineRule="exact"/>
              <w:textAlignment w:val="center"/>
              <w:rPr>
                <w:rFonts w:ascii="仿宋_GB2312" w:eastAsia="仿宋_GB2312" w:hAnsi="宋体" w:cs="仿宋_GB2312"/>
                <w:spacing w:val="-6"/>
                <w:sz w:val="20"/>
                <w:szCs w:val="20"/>
                <w:lang w:bidi="ar"/>
              </w:rPr>
            </w:pPr>
            <w:r>
              <w:rPr>
                <w:rFonts w:ascii="仿宋_GB2312" w:eastAsia="仿宋_GB2312" w:hAnsi="仿宋_GB2312" w:cs="仿宋_GB2312" w:hint="eastAsia"/>
                <w:color w:val="000000"/>
                <w:sz w:val="20"/>
                <w:szCs w:val="20"/>
                <w:lang w:bidi="ar"/>
              </w:rPr>
              <w:t>县行政审批局</w:t>
            </w:r>
          </w:p>
        </w:tc>
        <w:tc>
          <w:tcPr>
            <w:tcW w:w="1425" w:type="dxa"/>
            <w:shd w:val="clear" w:color="auto" w:fill="auto"/>
            <w:vAlign w:val="center"/>
          </w:tcPr>
          <w:p w:rsidR="005855A0" w:rsidRDefault="005855A0" w:rsidP="005855A0">
            <w:pPr>
              <w:spacing w:line="26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r w:rsidR="005855A0" w:rsidTr="005855A0">
        <w:trPr>
          <w:cantSplit/>
          <w:trHeight w:val="1292"/>
        </w:trPr>
        <w:tc>
          <w:tcPr>
            <w:tcW w:w="67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宋体" w:cs="仿宋_GB2312" w:hint="eastAsia"/>
                <w:sz w:val="20"/>
                <w:szCs w:val="20"/>
              </w:rPr>
              <w:t>2</w:t>
            </w:r>
          </w:p>
        </w:tc>
        <w:tc>
          <w:tcPr>
            <w:tcW w:w="3218"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宋体" w:cs="仿宋_GB2312" w:hint="eastAsia"/>
                <w:sz w:val="20"/>
                <w:szCs w:val="20"/>
                <w:lang w:bidi="ar"/>
              </w:rPr>
              <w:t>城市公共汽（电）车车辆营运证</w:t>
            </w:r>
          </w:p>
        </w:tc>
        <w:tc>
          <w:tcPr>
            <w:tcW w:w="1125" w:type="dxa"/>
            <w:shd w:val="clear" w:color="auto" w:fill="auto"/>
            <w:vAlign w:val="center"/>
          </w:tcPr>
          <w:p w:rsidR="005855A0" w:rsidRDefault="005855A0" w:rsidP="005855A0">
            <w:pPr>
              <w:spacing w:line="280" w:lineRule="exact"/>
              <w:jc w:val="center"/>
              <w:textAlignment w:val="center"/>
              <w:rPr>
                <w:rFonts w:ascii="仿宋_GB2312" w:eastAsia="仿宋_GB2312" w:hAnsi="仿宋_GB2312" w:cs="仿宋_GB2312"/>
                <w:sz w:val="20"/>
                <w:szCs w:val="20"/>
                <w:lang w:bidi="ar"/>
              </w:rPr>
            </w:pPr>
            <w:r>
              <w:rPr>
                <w:rFonts w:ascii="仿宋_GB2312" w:eastAsia="仿宋_GB2312" w:hAnsi="宋体" w:cs="仿宋_GB2312" w:hint="eastAsia"/>
                <w:sz w:val="20"/>
                <w:szCs w:val="20"/>
                <w:lang w:bidi="ar"/>
              </w:rPr>
              <w:t>省交通厅</w:t>
            </w:r>
          </w:p>
        </w:tc>
        <w:tc>
          <w:tcPr>
            <w:tcW w:w="6201" w:type="dxa"/>
            <w:shd w:val="clear" w:color="auto" w:fill="auto"/>
            <w:vAlign w:val="center"/>
          </w:tcPr>
          <w:p w:rsidR="005855A0" w:rsidRDefault="005855A0" w:rsidP="005855A0">
            <w:pPr>
              <w:spacing w:line="260" w:lineRule="exact"/>
              <w:textAlignment w:val="center"/>
              <w:rPr>
                <w:rFonts w:ascii="仿宋_GB2312" w:eastAsia="仿宋_GB2312" w:hAnsi="仿宋_GB2312" w:cs="仿宋_GB2312"/>
                <w:sz w:val="20"/>
                <w:szCs w:val="20"/>
                <w:lang w:bidi="ar"/>
              </w:rPr>
            </w:pPr>
            <w:r>
              <w:rPr>
                <w:rFonts w:ascii="仿宋_GB2312" w:eastAsia="仿宋_GB2312" w:hAnsi="宋体" w:cs="仿宋_GB2312" w:hint="eastAsia"/>
                <w:spacing w:val="-6"/>
                <w:sz w:val="20"/>
                <w:szCs w:val="20"/>
                <w:lang w:bidi="ar"/>
              </w:rPr>
              <w:t xml:space="preserve">《山西省城市公共客运条例》（2015年5月28日山西省第十二届人民代表大会常务委员会第二十次会议通过，自2015年10月1日起施行） 第十四条 </w:t>
            </w:r>
          </w:p>
        </w:tc>
        <w:tc>
          <w:tcPr>
            <w:tcW w:w="1425" w:type="dxa"/>
            <w:shd w:val="clear" w:color="auto" w:fill="auto"/>
            <w:vAlign w:val="center"/>
          </w:tcPr>
          <w:p w:rsidR="005855A0" w:rsidRDefault="005855A0" w:rsidP="005855A0">
            <w:pPr>
              <w:spacing w:line="260" w:lineRule="exact"/>
              <w:textAlignment w:val="center"/>
              <w:rPr>
                <w:rFonts w:ascii="仿宋_GB2312" w:eastAsia="仿宋_GB2312" w:hAnsi="宋体" w:cs="仿宋_GB2312"/>
                <w:spacing w:val="-6"/>
                <w:sz w:val="20"/>
                <w:szCs w:val="20"/>
                <w:lang w:bidi="ar"/>
              </w:rPr>
            </w:pPr>
            <w:r>
              <w:rPr>
                <w:rFonts w:ascii="仿宋_GB2312" w:eastAsia="仿宋_GB2312" w:hAnsi="仿宋_GB2312" w:cs="仿宋_GB2312" w:hint="eastAsia"/>
                <w:color w:val="000000"/>
                <w:sz w:val="20"/>
                <w:szCs w:val="20"/>
                <w:lang w:bidi="ar"/>
              </w:rPr>
              <w:t>县行政审批局</w:t>
            </w:r>
          </w:p>
        </w:tc>
        <w:tc>
          <w:tcPr>
            <w:tcW w:w="1425" w:type="dxa"/>
            <w:shd w:val="clear" w:color="auto" w:fill="auto"/>
            <w:vAlign w:val="center"/>
          </w:tcPr>
          <w:p w:rsidR="005855A0" w:rsidRDefault="005855A0" w:rsidP="005855A0">
            <w:pPr>
              <w:spacing w:line="260" w:lineRule="exact"/>
              <w:jc w:val="center"/>
              <w:textAlignment w:val="center"/>
              <w:rPr>
                <w:rFonts w:ascii="仿宋_GB2312" w:eastAsia="仿宋_GB2312" w:hAnsi="仿宋_GB2312" w:cs="仿宋_GB2312"/>
                <w:sz w:val="20"/>
                <w:szCs w:val="20"/>
                <w:lang w:bidi="ar"/>
              </w:rPr>
            </w:pPr>
            <w:r>
              <w:rPr>
                <w:rFonts w:ascii="仿宋_GB2312" w:eastAsia="仿宋_GB2312" w:hAnsi="仿宋_GB2312" w:cs="仿宋_GB2312" w:hint="eastAsia"/>
                <w:color w:val="000000"/>
                <w:sz w:val="20"/>
                <w:szCs w:val="20"/>
                <w:lang w:bidi="ar"/>
              </w:rPr>
              <w:t>县交通局</w:t>
            </w:r>
          </w:p>
        </w:tc>
      </w:tr>
    </w:tbl>
    <w:p w:rsidR="005855A0" w:rsidRDefault="005855A0" w:rsidP="005855A0">
      <w:pPr>
        <w:pStyle w:val="TOC3"/>
        <w:ind w:leftChars="0" w:left="0"/>
      </w:pPr>
    </w:p>
    <w:p w:rsidR="005855A0" w:rsidRDefault="005855A0" w:rsidP="005855A0"/>
    <w:p w:rsidR="004358AB" w:rsidRDefault="004358AB" w:rsidP="00D31D50">
      <w:pPr>
        <w:spacing w:line="220" w:lineRule="atLeast"/>
      </w:pPr>
    </w:p>
    <w:sectPr w:rsidR="004358AB">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677" w:rsidRDefault="00C07677" w:rsidP="005855A0">
      <w:pPr>
        <w:spacing w:after="0" w:line="240" w:lineRule="auto"/>
      </w:pPr>
      <w:r>
        <w:separator/>
      </w:r>
    </w:p>
  </w:endnote>
  <w:endnote w:type="continuationSeparator" w:id="0">
    <w:p w:rsidR="00C07677" w:rsidRDefault="00C07677" w:rsidP="0058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A0" w:rsidRDefault="00C07677">
    <w:pPr>
      <w:pStyle w:val="a5"/>
    </w:pPr>
    <w:r>
      <w:rPr>
        <w:noProof/>
      </w:rPr>
      <w:pict>
        <v:shapetype id="_x0000_t202" coordsize="21600,21600" o:spt="202" path="m,l,21600r21600,l21600,xe">
          <v:stroke joinstyle="miter"/>
          <v:path gradientshapeok="t" o:connecttype="rect"/>
        </v:shapetype>
        <v:shape id="文本框 4" o:spid="_x0000_s204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5855A0" w:rsidRDefault="005855A0">
                <w:pPr>
                  <w:pStyle w:val="a5"/>
                </w:pPr>
                <w:r>
                  <w:fldChar w:fldCharType="begin"/>
                </w:r>
                <w:r>
                  <w:instrText xml:space="preserve"> PAGE  \* MERGEFORMAT </w:instrText>
                </w:r>
                <w:r>
                  <w:fldChar w:fldCharType="separate"/>
                </w:r>
                <w:r>
                  <w:t>9</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677" w:rsidRDefault="00C07677" w:rsidP="005855A0">
      <w:pPr>
        <w:spacing w:after="0" w:line="240" w:lineRule="auto"/>
      </w:pPr>
      <w:r>
        <w:separator/>
      </w:r>
    </w:p>
  </w:footnote>
  <w:footnote w:type="continuationSeparator" w:id="0">
    <w:p w:rsidR="00C07677" w:rsidRDefault="00C07677" w:rsidP="005855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323B43"/>
    <w:rsid w:val="0034559A"/>
    <w:rsid w:val="003D37D8"/>
    <w:rsid w:val="004260E3"/>
    <w:rsid w:val="00426133"/>
    <w:rsid w:val="004358AB"/>
    <w:rsid w:val="005855A0"/>
    <w:rsid w:val="00644347"/>
    <w:rsid w:val="008B7726"/>
    <w:rsid w:val="00C07677"/>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7E7A41E-779E-48F2-9735-8FCABF3E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42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347"/>
    <w:rPr>
      <w:rFonts w:ascii="Tahoma" w:hAnsi="Tahoma"/>
    </w:rPr>
  </w:style>
  <w:style w:type="paragraph" w:styleId="1">
    <w:name w:val="heading 1"/>
    <w:basedOn w:val="a"/>
    <w:next w:val="a"/>
    <w:link w:val="10"/>
    <w:qFormat/>
    <w:rsid w:val="005855A0"/>
    <w:pPr>
      <w:widowControl w:val="0"/>
      <w:spacing w:beforeAutospacing="1" w:after="0" w:afterAutospacing="1"/>
      <w:outlineLvl w:val="0"/>
    </w:pPr>
    <w:rPr>
      <w:rFonts w:ascii="宋体" w:eastAsia="宋体" w:hAnsi="宋体" w:cs="Times New Roman" w:hint="eastAsia"/>
      <w:b/>
      <w:bCs/>
      <w:color w:val="00000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5855A0"/>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5855A0"/>
    <w:rPr>
      <w:rFonts w:ascii="Tahoma" w:hAnsi="Tahoma"/>
      <w:sz w:val="18"/>
      <w:szCs w:val="18"/>
    </w:rPr>
  </w:style>
  <w:style w:type="paragraph" w:styleId="a5">
    <w:name w:val="footer"/>
    <w:basedOn w:val="a"/>
    <w:link w:val="a6"/>
    <w:unhideWhenUsed/>
    <w:qFormat/>
    <w:rsid w:val="005855A0"/>
    <w:pPr>
      <w:tabs>
        <w:tab w:val="center" w:pos="4153"/>
        <w:tab w:val="right" w:pos="8306"/>
      </w:tabs>
    </w:pPr>
    <w:rPr>
      <w:sz w:val="18"/>
      <w:szCs w:val="18"/>
    </w:rPr>
  </w:style>
  <w:style w:type="character" w:customStyle="1" w:styleId="a6">
    <w:name w:val="页脚 字符"/>
    <w:basedOn w:val="a0"/>
    <w:link w:val="a5"/>
    <w:uiPriority w:val="99"/>
    <w:rsid w:val="005855A0"/>
    <w:rPr>
      <w:rFonts w:ascii="Tahoma" w:hAnsi="Tahoma"/>
      <w:sz w:val="18"/>
      <w:szCs w:val="18"/>
    </w:rPr>
  </w:style>
  <w:style w:type="character" w:customStyle="1" w:styleId="10">
    <w:name w:val="标题 1 字符"/>
    <w:basedOn w:val="a0"/>
    <w:link w:val="1"/>
    <w:rsid w:val="005855A0"/>
    <w:rPr>
      <w:rFonts w:ascii="宋体" w:eastAsia="宋体" w:hAnsi="宋体" w:cs="Times New Roman"/>
      <w:b/>
      <w:bCs/>
      <w:color w:val="000000"/>
      <w:kern w:val="44"/>
      <w:sz w:val="48"/>
      <w:szCs w:val="48"/>
    </w:rPr>
  </w:style>
  <w:style w:type="paragraph" w:styleId="TOC3">
    <w:name w:val="toc 3"/>
    <w:basedOn w:val="a"/>
    <w:next w:val="a"/>
    <w:uiPriority w:val="39"/>
    <w:unhideWhenUsed/>
    <w:qFormat/>
    <w:rsid w:val="005855A0"/>
    <w:pPr>
      <w:widowControl w:val="0"/>
      <w:spacing w:after="0"/>
      <w:ind w:leftChars="400" w:left="840"/>
    </w:pPr>
    <w:rPr>
      <w:rFonts w:ascii="Times New Roman" w:eastAsia="Times New Roman" w:hAnsi="Times New Roman" w:cs="Times New Roman"/>
      <w:color w:val="000000"/>
      <w:sz w:val="24"/>
      <w:szCs w:val="24"/>
      <w:lang w:eastAsia="en-US" w:bidi="en-US"/>
    </w:rPr>
  </w:style>
  <w:style w:type="paragraph" w:styleId="a7">
    <w:name w:val="Normal (Web)"/>
    <w:basedOn w:val="a"/>
    <w:qFormat/>
    <w:rsid w:val="005855A0"/>
    <w:pPr>
      <w:widowControl w:val="0"/>
      <w:spacing w:beforeAutospacing="1" w:after="0" w:afterAutospacing="1"/>
    </w:pPr>
    <w:rPr>
      <w:rFonts w:ascii="Times New Roman" w:eastAsia="Times New Roman" w:hAnsi="Times New Roman" w:cs="Times New Roman"/>
      <w:color w:val="000000"/>
      <w:sz w:val="24"/>
      <w:szCs w:val="24"/>
      <w:lang w:eastAsia="en-US" w:bidi="en-US"/>
    </w:rPr>
  </w:style>
  <w:style w:type="table" w:styleId="a8">
    <w:name w:val="Table Grid"/>
    <w:basedOn w:val="a1"/>
    <w:qFormat/>
    <w:rsid w:val="005855A0"/>
    <w:pPr>
      <w:widowControl w:val="0"/>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9239-E00D-406A-A24D-9CF7C8A1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2828</Words>
  <Characters>16121</Characters>
  <Application>Microsoft Office Word</Application>
  <DocSecurity>0</DocSecurity>
  <Lines>134</Lines>
  <Paragraphs>37</Paragraphs>
  <ScaleCrop>false</ScaleCrop>
  <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2023-03-30T00:43:00Z</dcterms:modified>
</cp:coreProperties>
</file>